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3525520</wp:posOffset>
            </wp:positionH>
            <wp:positionV relativeFrom="paragraph">
              <wp:posOffset>12700</wp:posOffset>
            </wp:positionV>
            <wp:extent cx="615950" cy="597535"/>
            <wp:wrapTopAndBottom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15950" cy="5975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Дзяржауны камгтэт</w:t>
        <w:br/>
        <w:t>па стандартызацьи</w:t>
        <w:br/>
        <w:t>РэспублЛю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(Дзяржстандарт)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Старавшенсю тракт, 93, 220053, г. Мшск</w:t>
        <w:br/>
        <w:t>тэл.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spacing w:lineRule="exact" w:line="1"/>
        <w:rPr>
          <w:sz w:val="2"/>
          <w:szCs w:val="2"/>
        </w:rPr>
      </w:pPr>
      <w:r>
        <w:br w:type="column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Государственный комитет</w:t>
        <w:br/>
        <w:t>по стандартизации</w:t>
        <w:br/>
        <w:t>Республики Беларусь</w:t>
        <w:br/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(Госстандарт)</w:t>
      </w:r>
    </w:p>
    <w:p>
      <w:pPr>
        <w:pStyle w:val="Style5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pgSz w:w="11900" w:h="16840"/>
          <w:pgMar w:top="272" w:left="1582" w:right="944" w:bottom="1387" w:header="0" w:footer="959" w:gutter="0"/>
          <w:pgNumType w:start="1"/>
          <w:cols w:num="2" w:space="1113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Старовиленский тракт, 93, 220053, г. Минск</w:t>
        <w:br/>
        <w:t>тел. +375 17 379 62 13, факс +375 17 363 25 88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"mailto:belst@gosstandart.gov.by" </w:instrText>
      </w:r>
      <w:r>
        <w:fldChar w:fldCharType="separate"/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belst@gosstandart.gov.by</w:t>
      </w:r>
      <w:r>
        <w:fldChar w:fldCharType="end"/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06" w:left="0" w:right="0" w:bottom="1403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1 С </w:t>
      </w:r>
      <w:r>
        <w:rPr>
          <w:rFonts w:ascii="Corbel" w:eastAsia="Corbel" w:hAnsi="Corbel" w:cs="Corbel"/>
          <w:b w:val="0"/>
          <w:bCs w:val="0"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лея С</w:t>
      </w:r>
      <w:r>
        <w:rPr>
          <w:rFonts w:ascii="Corbel" w:eastAsia="Corbel" w:hAnsi="Corbel" w:cs="Corbel"/>
          <w:b w:val="0"/>
          <w:bCs w:val="0"/>
          <w:i w:val="0"/>
          <w:iCs w:val="0"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ru-RU" w:eastAsia="ru-RU" w:bidi="ru-RU"/>
        </w:rPr>
        <w:t xml:space="preserve"> №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се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ff </w:t>
      </w:r>
      <w:r>
        <w:rPr>
          <w:rFonts w:ascii="Arial" w:eastAsia="Arial" w:hAnsi="Arial" w:cs="Arial"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■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>-h-tec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ПРЕДПИСАНИЕ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09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Главного государственного инспектора</w:t>
        <w:br/>
        <w:t>Республики Беларусь по надзору за соблюдением</w:t>
        <w:br/>
        <w:t>технических регламентов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11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 запрете ввоза и обращения опасной продукции на территории Республики Беларусь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результате проверки Могилевской областной инспекцией Госстандарта индивидуального предпринимателя Смолко В.А.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(УНП 700356371,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акт проверки от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27.07.2020 Ж705ПТ2074) выявлена опасная продукция: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30" w:val="left"/>
          <w:tab w:pos="3096" w:val="left"/>
        </w:tabs>
        <w:bidi w:val="0"/>
        <w:spacing w:before="0" w:after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концентрат квасного сусла с маркировкой «Тульский продукт» в стеклянной банке, масса 550 г, дата изготовления 04.06.2020, срок годности 18 месяцев, продукция маркирована единым знаком обращения продукции на рынке государств - членов Таможенного союза</w:t>
        <w:tab/>
        <w:t>(ЕАС),</w:t>
        <w:tab/>
        <w:t>ТУ 9185-003-89253780-2012, изготовитель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ООО «ПТК «Тульский продукт» (Российская Федерация, Тульская область). Поставщик в Республику Беларусь индивидуальный предприниматель Смолко В.А. (г. Могилев).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результатам проверки установлено, что продукция не соответствует требованиям технических регламентов Таможенного союза ТР ТС 021/2011 «О безопасности пищевой продукции» (пункта 1 статьи 5, статьи 39), ТР ТС 022/2011 «Пищевая продукция в части ее маркировки» (пункта 1 части 4.12 статьи 4), ТР ТС 029/2012 «Требования безопасности пищевых добавок, ароматизаторов и технологических вспомогательных средств» (подпункта 1 пункта 17 статьи 7, приложения 8) по безопасности и маркировке - в результате проведенных испытаний в составе продукта обнаружены недопустимые пищевые добавки: консервант бензойная кислота в количестве 810,2 мг/кг; консервант сорбиновая кислота в количестве - 175,5 мг/кг;</w:t>
      </w:r>
      <w:r>
        <w:br w:type="page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маркировке изготовителем заявлена недопустимая пищевая добавка - консервант бензоат натрия, что вводит потребителя в заблуждение относительно безопасности продукта.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20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основании подпункта 2.1 пункта 2 Указа Президента Республики Беларусь от 9 февраля 2015 г. № 48 «О мерах по обеспечению государственного контроля (надзора) за соблюдением требований технических регламентов»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78" w:val="left"/>
        </w:tabs>
        <w:bidi w:val="0"/>
        <w:spacing w:before="0" w:after="0" w:line="259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«</w:t>
      </w:r>
      <w:r>
        <w:rPr>
          <w:b/>
          <w:bCs/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 xml:space="preserve">/X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u w:val="single"/>
          <w:shd w:val="clear" w:color="auto" w:fill="auto"/>
          <w:lang w:val="en-US" w:eastAsia="en-US" w:bidi="en-US"/>
        </w:rPr>
        <w:t>h_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en-US" w:eastAsia="en-US" w:bidi="en-US"/>
        </w:rPr>
        <w:t xml:space="preserve">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»</w:t>
        <w:tab/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2020 года ввоз и обращение на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территории Республики Беларусь опасной продукции: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концентрата квасного сусла с маркировкой «Тульский продукт», изготовитель ООО «ПТК «Тульский продукт» (Российская Федерация, Тульская область).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59" w:lineRule="auto"/>
        <w:ind w:left="0" w:right="0" w:firstLine="740"/>
        <w:jc w:val="both"/>
      </w:pPr>
      <w:r>
        <w:drawing>
          <wp:anchor distT="0" distB="0" distL="0" distR="1234440" simplePos="0" relativeHeight="125829379" behindDoc="0" locked="0" layoutInCell="1" allowOverlap="1">
            <wp:simplePos x="0" y="0"/>
            <wp:positionH relativeFrom="page">
              <wp:posOffset>4139565</wp:posOffset>
            </wp:positionH>
            <wp:positionV relativeFrom="paragraph">
              <wp:posOffset>673100</wp:posOffset>
            </wp:positionV>
            <wp:extent cx="1487170" cy="1237615"/>
            <wp:wrapTight wrapText="left">
              <wp:wrapPolygon>
                <wp:start x="0" y="0"/>
                <wp:lineTo x="21600" y="0"/>
                <wp:lineTo x="21600" y="21600"/>
                <wp:lineTo x="0" y="21600"/>
                <wp:lineTo x="0" y="0"/>
              </wp:wrapPolygon>
            </wp:wrapTight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487170" cy="123761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5761355</wp:posOffset>
                </wp:positionH>
                <wp:positionV relativeFrom="paragraph">
                  <wp:posOffset>1339215</wp:posOffset>
                </wp:positionV>
                <wp:extent cx="1097280" cy="403860"/>
                <wp:wrapNone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97280" cy="40386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гГатарицкий</w:t>
                            </w:r>
                          </w:p>
                          <w:p>
                            <w:pPr>
                              <w:pStyle w:val="Style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ru-RU" w:eastAsia="ru-RU" w:bidi="ru-RU"/>
                              </w:rPr>
                              <w:t>расшифровка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453.64999999999998pt;margin-top:105.45pt;width:86.400000000000006pt;height:31.800000000000001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гГатарицкий</w:t>
                      </w:r>
                    </w:p>
                    <w:p>
                      <w:pPr>
                        <w:pStyle w:val="Style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ru-RU" w:eastAsia="ru-RU" w:bidi="ru-RU"/>
                        </w:rPr>
                        <w:t>расшифровка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Административная ответственность за неисполнение настоящего предписания предусмотрена статьями 23.1 и 23.67 Кодекса Республики Беларусь об административных правонарушениях^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09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Главный государственный инспектор Республики Беларусь по надзору за соблюдением-технических регламе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59" w:lineRule="auto"/>
        <w:ind w:left="32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м.п.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06" w:left="1279" w:right="1015" w:bottom="1403" w:header="0" w:footer="975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6">
    <w:name w:val="Основной текст (2)_"/>
    <w:basedOn w:val="DefaultParagraphFont"/>
    <w:link w:val="Styl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8">
    <w:name w:val="Подпись к картинке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1">
    <w:name w:val="Заголовок №1_"/>
    <w:basedOn w:val="DefaultParagraphFont"/>
    <w:link w:val="Style10"/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singl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120" w:line="257" w:lineRule="auto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line="26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Style7">
    <w:name w:val="Подпись к картинке"/>
    <w:basedOn w:val="Normal"/>
    <w:link w:val="CharStyle8"/>
    <w:pPr>
      <w:widowControl w:val="0"/>
      <w:shd w:val="clear" w:color="auto" w:fill="FFFFFF"/>
      <w:spacing w:after="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10">
    <w:name w:val="Заголовок №1"/>
    <w:basedOn w:val="Normal"/>
    <w:link w:val="CharStyle11"/>
    <w:pPr>
      <w:widowControl w:val="0"/>
      <w:shd w:val="clear" w:color="auto" w:fill="FFFFFF"/>
      <w:spacing w:after="480"/>
      <w:outlineLvl w:val="0"/>
    </w:pPr>
    <w:rPr>
      <w:rFonts w:ascii="Verdana" w:eastAsia="Verdana" w:hAnsi="Verdana" w:cs="Verdana"/>
      <w:b/>
      <w:bCs/>
      <w:i/>
      <w:iCs/>
      <w:smallCaps w:val="0"/>
      <w:strike w:val="0"/>
      <w:sz w:val="26"/>
      <w:szCs w:val="26"/>
      <w:u w:val="singl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