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C8" w:rsidRPr="00814AC8" w:rsidRDefault="00814AC8" w:rsidP="00814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  <w:t>Закон</w:t>
      </w:r>
      <w:r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  <w:t xml:space="preserve">ом </w:t>
      </w:r>
      <w:r w:rsidRPr="00814AC8"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  <w:t xml:space="preserve"> Республики Беларусь от 15.11.2018 N 150-З "Об особо охраняемых природных территориях"</w:t>
      </w:r>
      <w:r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  <w:t xml:space="preserve"> установлены режимы охраны и использования особо охраняемых природных территорий</w:t>
      </w:r>
    </w:p>
    <w:p w:rsid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b/>
          <w:bCs/>
          <w:color w:val="242424"/>
          <w:sz w:val="25"/>
          <w:lang w:eastAsia="ru-RU"/>
        </w:rPr>
      </w:pPr>
    </w:p>
    <w:p w:rsid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b/>
          <w:bCs/>
          <w:color w:val="242424"/>
          <w:sz w:val="25"/>
          <w:lang w:eastAsia="ru-RU"/>
        </w:rPr>
      </w:pP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b/>
          <w:bCs/>
          <w:color w:val="242424"/>
          <w:sz w:val="25"/>
          <w:lang w:eastAsia="ru-RU"/>
        </w:rPr>
        <w:t>Статья 24. Режим охраны и использования ООПТ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 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1. Режим охраны и использования ООПТ устанавливается настоящим Законом, а также: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1.1. положением об ООПТ - для заповедника, национального парка, заказника;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1.2. решением государственного органа об объявлении, преобразовании памятника природы - для памятника природы.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2. </w:t>
      </w:r>
      <w:proofErr w:type="gram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На ООПТ, за исключением случаев предупреждения и ликвидации чрезвычайной ситуации и ее последствий при поступлении в порядке, установленном законодательством в области защиты населения и территорий от чрезвычайных ситуаций, информации об угрозе возникновения или о возникновении чрезвычайной ситуации (далее - предупреждение и ликвидация чрезвычайной ситуации и ее последствий), а также проведения мероприятий, определенных планом управления ООПТ, запрещаются, если иное не установлено законодательными</w:t>
      </w:r>
      <w:proofErr w:type="gram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 актами: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2.1. разведка и разработка месторождений полезных ископаемых;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2.2. сброс сточных вод в окружающую среду;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2.3. мойка механических транспортных средств;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2.4. 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восстановлению, реконструкции и ремонтно-эксплуатационных работ по обеспечению функционирования мелиоративных систем, отдельно расположенных гидротехнических сооружений, сооружений внутренних водных путей и объектов </w:t>
      </w:r>
      <w:proofErr w:type="spell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противопаводковой</w:t>
      </w:r>
      <w:proofErr w:type="spell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 защиты);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proofErr w:type="gram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2.5. выжигание сухой растительности, трав на корню, а также стерни и пожнивных остатков (за исключением случаев выполнения научно обоснованных работ по выжиганию растительности для улучшения среды обитания диких животных, относящихся к видам, включенным в Красную книгу Республики Беларусь, и (или) к видам, подпадающим под действие международных договоров Республики Беларусь, и иных случаев, предусмотренных законодательными актами);</w:t>
      </w:r>
      <w:proofErr w:type="gramEnd"/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2.6. сжигание порубочных остатков при проведении рубок леса, выполнении работ по удалению, изъятию древесно-кустарниковой растительности (за исключением случаев сжигания порубочных остатков в очагах вредителей и болезней лесов);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2.7. интродукция чужеродных диких животных и растений (за исключением интродукции растений в границах ботанических памятников природы, когда эта деятельность является научно-исследовательской и не имеет негативного влияния на ценные природные комплексы и объекты);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2.8. возведение промышленных, коммунальных и складских объектов, автомобильных заправочных станций, станций технического обслуживания и моек для автотранспорта, животноводческих объектов, объектов хранения, захоронения, обезвреживания и использования отходов, объектов жилой застройки, размещение летних лагерей для скота, создание новых садоводческих товариществ и дачных кооперативов;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proofErr w:type="gram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2.9. размещение отдельных палаток и палаточных городков, туристских стоянок, других оборудованных зон и мест отдыха, стоянок механических транспортных средств, разведение костров (за исключением разведения костров в местах отдыха, </w:t>
      </w: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lastRenderedPageBreak/>
        <w:t>определенных технологическими картами на разработку лесосек, на обустроенных площадках, окаймленных минерализованной (очищенной до минерального слоя почвы) полосой шириной не менее 0,25 метра, в местах, исключающих повреждение огнем крон, стволов и корневых лап</w:t>
      </w:r>
      <w:proofErr w:type="gram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 растущих деревьев) вне мест, определенных планом управления ООПТ или решением городского, районного исполнительного комитета;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2.10. проведение сплошных рубок главного пользования;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2.11. складирование и применение авиационным методом химических средств защиты растений (за исключением случаев, когда имеется угроза массовой гибели лесных насаждений в результате воздействия вредителей и болезней лесов), регуляторов их роста, удобрений;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2.12. изъятие, удаление, повреждение, уничтожение древесно-кустарниковой растительности, живого напочвенного покрова и лесной подстилки, снятие плодородного слоя почвы, включая подстилающие породы, за исключением случаев осуществления, если иное не установлено настоящим Законом: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сельскохозяйственных работ (на сельскохозяйственных землях) и лесохозяйственных мероприятий;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мероприятий по предотвращению зарастания сельскохозяйственных земель и открытых болот древесно-кустарниковой растительностью;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противопожарных мероприятий;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мероприятий, связанных с восстановлением численности (</w:t>
      </w:r>
      <w:proofErr w:type="spell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реинтродукцией</w:t>
      </w:r>
      <w:proofErr w:type="spell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) популяций диких животных и дикорастущих растений, относящихся к видам, включенным в Красную книгу Республики Беларусь, и (или) к видам, подпадающим под действие международных договоров Республики Беларусь;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мероприятий по регулированию распространения и численности </w:t>
      </w:r>
      <w:proofErr w:type="spell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инвазивных</w:t>
      </w:r>
      <w:proofErr w:type="spell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 чужеродных диких животных и </w:t>
      </w:r>
      <w:proofErr w:type="spell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инвазивных</w:t>
      </w:r>
      <w:proofErr w:type="spell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 растений;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работ по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 обеспечению их функционирования;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работ по строительству инженерных сетей и транспортных коммуникаций;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proofErr w:type="gram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работ по переносу в границах ООПТ существующих зданий и сооружений, размещению, обустройству и (или) благоустройству зданий и сооружений для целей ведения лесного и охотничьего хозяйства, домов охотника и (или) рыболова, эколого-информационных центров, культовых сооружений и объектов, оборудованных мест отдыха, пляжей и экологических троп, стоянок механических транспортных средств, лодочных причалов в местах, определенных планом управления ООПТ или решением городского, районного исполнительного</w:t>
      </w:r>
      <w:proofErr w:type="gram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 комитета;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работ по установлению, содержанию и охране Государственной границы Республики Беларусь;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работ по расчистке квартальных просек, рубок (удаления) опасных деревьев, работ по трелевке и вывозке древесины при проведении рубок, не запрещенных настоящим Законом и положением об ООПТ;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научно-исследовательских работ, выполняемых в границах ООПТ в соответствии с законодательством без причинения вреда ценным природным комплексам и объектам;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2.13. использование юридическими и физическими лицами водных транспортных сре</w:t>
      </w:r>
      <w:proofErr w:type="gram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дств с дв</w:t>
      </w:r>
      <w:proofErr w:type="gram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игателями внутреннего сгорания свыше 15 лошадиных сил, за исключением водных транспортных средств: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lastRenderedPageBreak/>
        <w:t>органов и подразделений по чрезвычайным ситуациям;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Минприроды и его территориальных органов;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Министерства транспорта и коммуникаций Республики Беларусь;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государственного природоохранного учреждения;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Министерства лесного хозяйства Республики Беларусь и подчиненных ему организаций при осуществлении охраны и защиты лесов на участках лесного фонда, расположенных в границах ООПТ;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органов Комитета государственного контроля Республики Беларусь;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Государственной инспекции охраны животного и растительного мира при Президенте Республики Беларусь, ее областных и межрайонных инспекций охраны животного и растительного мира (далее - </w:t>
      </w:r>
      <w:proofErr w:type="spell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Госинспекция</w:t>
      </w:r>
      <w:proofErr w:type="spell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);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государственного учреждения "Государственная инспекция по маломерным судам";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республиканского государственно-общественного объединения "Белорусское республиканское общество спасания на водах" и его структурных подразделений;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арендаторов (пользователей) охотничьих, рыболовных угодий, расположенных в границах ООПТ;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используемых при выполнении в границах ООПТ научно-исследовательских работ;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используемых субъектами туристической индустрии при организации туристических путешествий;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иных юридических и (или) физических лиц, если это определено положением об ООПТ;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2.14. движение и стоянка механических транспортных средств и самоходных машин вне дорог общего пользования и специально оборудованных мест, за исключением механических транспортных средств и самоходных машин: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органов и подразделений по чрезвычайным ситуациям;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Минприроды и его территориальных органов;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государственного природоохранного учреждения;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Министерства лесного хозяйства Республики Беларусь и подчиненных ему организаций при осуществлении охраны и защиты лесов на участках лесного фонда, расположенных в границах ООПТ;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органов Комитета государственного контроля Республики Беларусь;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proofErr w:type="spell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Госинспекции</w:t>
      </w:r>
      <w:proofErr w:type="spell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арендаторов (пользователей) охотничьих, рыболовных угодий, расположенных в границах ООПТ;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используемых для выполнения в границах ООПТ сельскохозяйственных работ, проведения рубок леса, выполнения работ по трелевке и вывозке древесины, работ по охране и защите лесов, </w:t>
      </w:r>
      <w:proofErr w:type="spell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лесовосстановлению</w:t>
      </w:r>
      <w:proofErr w:type="spell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 и лесоразведению,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 обеспечению их функционирования;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используемых при выполнении в границах ООПТ научно-исследовательских работ;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используемых при выполнении в границах ООПТ работ по содержанию, обслуживанию, ремонту, реконструкции, реставрации объектов, используемых для охраны и функционирования ООПТ, инженерных сетей и транспортных </w:t>
      </w: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lastRenderedPageBreak/>
        <w:t>коммуникаций, осуществления экологического просвещения, а также мероприятий по поддержанию ценных природных комплексов и объектов в надлежащем состоянии;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используемых при обустройстве и (или) благоустройстве территории, обустройстве экологических троп, строительстве объектов, не запрещенных в соответствии с режимом охраны и использования ООПТ;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2.15. распашка земель в прибрежных полосах (за исключением выполнения работ по устройству минерализованных полос и уходу за ними, а также по подготовке почвы для </w:t>
      </w:r>
      <w:proofErr w:type="spell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залужения</w:t>
      </w:r>
      <w:proofErr w:type="spell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, </w:t>
      </w:r>
      <w:proofErr w:type="spell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лесовосстановления</w:t>
      </w:r>
      <w:proofErr w:type="spell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 и лесоразведения);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2.16. проведение научных экспериментов с природными комплексами и объектами, расположенными в границах ООПТ, которые могут привести к вредному воздействию на них, нарушению режима охраны и использования ООПТ.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3. В целях оптимизации режима охраны и использования национального парка с учетом природоохранных, историко-культурных, </w:t>
      </w:r>
      <w:proofErr w:type="spell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средообразующих</w:t>
      </w:r>
      <w:proofErr w:type="spell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, санитарно-гигиенических, оздоровительных, рекреационных и иных свойств ценных природных комплексов и объектов, а также иных объектов, расположенных в границах национального парка, осуществляется его зонирование.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Каждая из зон национального парка может быть территориально разобщена и состоять из нескольких участков.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4. </w:t>
      </w:r>
      <w:proofErr w:type="gram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Государственное природоохранное учреждение, а в случае, когда оно не создано, управляющий орган доводят до всеобщего сведения информацию о границах, режиме охраны и использования ООПТ (в том числе зон национального парка), а для заповедников, национальных парков, заказников - также информацию об участках (местах), специально выделенных для различных целей в соответствии со статьями 26 - 28 настоящего Закона, путем размещения ее на своих официальных</w:t>
      </w:r>
      <w:proofErr w:type="gram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 </w:t>
      </w:r>
      <w:proofErr w:type="gram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сайтах</w:t>
      </w:r>
      <w:proofErr w:type="gram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 в глобальной компьютерной сети Интернет и (или) в средствах массовой информации, установки информационных знаков, содержащих такую информацию, или иным общедоступным способом.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5. </w:t>
      </w:r>
      <w:proofErr w:type="gram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Режим охраны и использования ООПТ учитывается при разработке и реализации концепций, прогнозов, программ, планов действий, схем отраслевого развития, реализация которых связана с использованием природных ресурсов и (или) может оказать воздействие на окружающую среду, при разработке и реализации проектов и схем землеустройства, градостроительных проектов, отраслевых схем размещения и развития производства и объектов транспортной и инженерной инфраструктуры, проектов мелиорации земель, планов развития</w:t>
      </w:r>
      <w:proofErr w:type="gram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 горных работ, проектов обоснования границ горных отводов, проектов </w:t>
      </w:r>
      <w:proofErr w:type="spell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водоохранных</w:t>
      </w:r>
      <w:proofErr w:type="spell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 зон и прибрежных полос, республиканской комплексной схемы размещения рыболовных угодий, лесоустроительных проектов, проектов </w:t>
      </w:r>
      <w:proofErr w:type="spell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охотоустройства</w:t>
      </w:r>
      <w:proofErr w:type="spell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 и планировки зон отдыха.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6. Планирование и ведение хозяйственной и иной деятельности в границах ООПТ осуществляются с учетом и соблюдением режима ее охраны и использования.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7. Землепользователи, земельные участки (части земельных участков) которых включаются в состав земель, образующих ООПТ, а также иные физические и юридические лица, осуществляющие хозяйственную и иную деятельность на ООПТ, обязаны соблюдать режим ее охраны и использования.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8. Осуществление иных, помимо указанных в пункте 2 настоящей статьи, видов деятельности, в результате которой оказывается либо может быть оказано вредное воздействие на ценные природные комплексы и объекты, расположенные в границах ООПТ, либо </w:t>
      </w:r>
      <w:proofErr w:type="gram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которая</w:t>
      </w:r>
      <w:proofErr w:type="gram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 противоречит целям и задачам, определенным при объявлении, преобразовании ООПТ, запрещается.</w:t>
      </w:r>
    </w:p>
    <w:p w:rsid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b/>
          <w:bCs/>
          <w:color w:val="242424"/>
          <w:sz w:val="25"/>
          <w:lang w:eastAsia="ru-RU"/>
        </w:rPr>
      </w:pPr>
    </w:p>
    <w:p w:rsid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b/>
          <w:bCs/>
          <w:color w:val="242424"/>
          <w:sz w:val="25"/>
          <w:lang w:eastAsia="ru-RU"/>
        </w:rPr>
      </w:pP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b/>
          <w:bCs/>
          <w:color w:val="242424"/>
          <w:sz w:val="25"/>
          <w:lang w:eastAsia="ru-RU"/>
        </w:rPr>
        <w:lastRenderedPageBreak/>
        <w:t>Статья 25. Охранная зона ООПТ</w:t>
      </w:r>
    </w:p>
    <w:p w:rsidR="00814AC8" w:rsidRPr="00814AC8" w:rsidRDefault="00814AC8" w:rsidP="00814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 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1. Для предотвращения или смягчения вредных воздействий на ценные природные комплексы и объекты, расположенные в границах заповедника, национального парка, устанавливается охранная зона заповедника, национального парка.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Если в </w:t>
      </w:r>
      <w:proofErr w:type="spell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НиТЭО</w:t>
      </w:r>
      <w:proofErr w:type="spell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 объявления, преобразования заказника, памятника природы в целях предотвращения или смягчения вредных воздействий на ценные природные комплексы и объекты, расположенные в границах заказника, памятника природы, обоснована необходимость установления охранной зоны заказника, памятника природы, такая зона устанавливается решением об объявлении, преобразовании заказника, памятника природы.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2. В состав охранной зоны ООПТ включаются земли, расположенные на прилегающих к ней территориях, а также земли, расположенные в границах ООПТ, но не включенные в состав земель, образующих ее территорию.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3. Границы охранной зоны ООПТ определяются исходя из условия недопущения вредного воздействия хозяйственной и иной деятельности на расположенные в границах ООПТ ценные природные комплексы и объекты, </w:t>
      </w:r>
      <w:proofErr w:type="gram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которое</w:t>
      </w:r>
      <w:proofErr w:type="gram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 может привести к нарушению, деградации или утрате этих природных комплексов и объектов.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4. </w:t>
      </w:r>
      <w:proofErr w:type="gram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Границы, площадь охранной зоны ООПТ, список землепользователей, земельные участки (части земельных участков) которых включаются в состав земель охранной зоны ООПТ, и режим охраны и использования охранной зоны ООПТ устанавливаются государственным органом (должностным лицом), принимающим решение об объявлении, преобразовании ООПТ, и учитываются при разработке и реализации концепций, прогнозов, программ, планов действий, схем отраслевого развития, реализация которых связана с использованием природных ресурсов</w:t>
      </w:r>
      <w:proofErr w:type="gram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 </w:t>
      </w:r>
      <w:proofErr w:type="gram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и (или) может оказать воздействие на окружающую среду, при разработке и реализации проектов и схем землеустройства, градостроительных проектов, отраслевых схем размещения и развития производства и объектов транспортной и инженерной инфраструктуры, проектов мелиорации земель, планов развития горных работ, проектов обоснования границ горных отводов, проектов </w:t>
      </w:r>
      <w:proofErr w:type="spell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водоохранных</w:t>
      </w:r>
      <w:proofErr w:type="spell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 зон и прибрежных полос, республиканской комплексной схемы размещения рыболовных угодий, лесоустроительных проектов, проектов </w:t>
      </w:r>
      <w:proofErr w:type="spell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охотоустройства</w:t>
      </w:r>
      <w:proofErr w:type="spell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 и планировки</w:t>
      </w:r>
      <w:proofErr w:type="gramEnd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 зон отдыха.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5. Государственное природоохранное учреждение, а в случае, когда оно не создано, управляющий орган доводят до всеобщего сведения информацию о границах, режиме охраны и использования охранной зоны ООПТ путем размещения ее на своих официальных сайтах в глобальной компьютерной сети Интернет и (или) в средствах массовой информации или иным общедоступным способом.</w:t>
      </w:r>
    </w:p>
    <w:p w:rsidR="00814AC8" w:rsidRPr="00814AC8" w:rsidRDefault="00814AC8" w:rsidP="00814AC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 xml:space="preserve">6. </w:t>
      </w:r>
      <w:proofErr w:type="gramStart"/>
      <w:r w:rsidRPr="00814AC8">
        <w:rPr>
          <w:rFonts w:ascii="Times New Roman" w:eastAsia="Times New Roman" w:hAnsi="Times New Roman" w:cs="Times New Roman"/>
          <w:color w:val="242424"/>
          <w:sz w:val="25"/>
          <w:lang w:eastAsia="ru-RU"/>
        </w:rPr>
        <w:t>Землепользователи, земельные участки (части земельных участков) которых включены в состав земель охранной зоны ООПТ, а также иные юридические и физические лица обязаны соблюдать режим охраны и использования охранной зоны ООПТ.</w:t>
      </w:r>
      <w:proofErr w:type="gramEnd"/>
    </w:p>
    <w:p w:rsidR="00814AC8" w:rsidRDefault="00814AC8" w:rsidP="00814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</w:p>
    <w:p w:rsidR="00814AC8" w:rsidRDefault="00814AC8" w:rsidP="00814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</w:p>
    <w:p w:rsidR="00814AC8" w:rsidRDefault="00814AC8" w:rsidP="00814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</w:p>
    <w:p w:rsidR="00814AC8" w:rsidRDefault="00814AC8" w:rsidP="00814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</w:p>
    <w:p w:rsidR="00814AC8" w:rsidRDefault="00814AC8" w:rsidP="00814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</w:p>
    <w:p w:rsidR="00814AC8" w:rsidRDefault="00814AC8" w:rsidP="00814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</w:p>
    <w:p w:rsidR="00814AC8" w:rsidRDefault="00814AC8" w:rsidP="00814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</w:p>
    <w:p w:rsidR="00814AC8" w:rsidRDefault="00814AC8" w:rsidP="00814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word-wrapper"/>
          <w:b/>
          <w:bCs/>
          <w:color w:val="242424"/>
          <w:sz w:val="25"/>
          <w:szCs w:val="25"/>
        </w:rPr>
        <w:lastRenderedPageBreak/>
        <w:t>Статья 28. Режим охраны и использования заказника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5"/>
          <w:szCs w:val="25"/>
        </w:rPr>
      </w:pPr>
      <w:r>
        <w:rPr>
          <w:rStyle w:val="fake-non-breaking-space"/>
          <w:color w:val="242424"/>
          <w:sz w:val="25"/>
          <w:szCs w:val="25"/>
        </w:rPr>
        <w:t> 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word-wrapper"/>
          <w:color w:val="242424"/>
          <w:sz w:val="25"/>
          <w:szCs w:val="25"/>
        </w:rPr>
        <w:t>1. В границах заказника с учетом особенностей расположенных на его территории ценных природных комплексов и объектов устанавливается территориально дифференцированный режим его охраны и использования с ограничением отдельных видов деятельности, включая природопользование.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word-wrapper"/>
          <w:color w:val="242424"/>
          <w:sz w:val="25"/>
          <w:szCs w:val="25"/>
        </w:rPr>
        <w:t>2. В границах заказника помимо видов деятельности, указанных в пункте 2 статьи 24</w:t>
      </w:r>
      <w:r>
        <w:rPr>
          <w:rStyle w:val="fake-non-breaking-space"/>
          <w:color w:val="242424"/>
          <w:sz w:val="25"/>
          <w:szCs w:val="25"/>
        </w:rPr>
        <w:t> </w:t>
      </w:r>
      <w:r>
        <w:rPr>
          <w:rStyle w:val="word-wrapper"/>
          <w:color w:val="242424"/>
          <w:sz w:val="25"/>
          <w:szCs w:val="25"/>
        </w:rPr>
        <w:t>настоящего Закона, запрещаются: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proofErr w:type="gramStart"/>
      <w:r>
        <w:rPr>
          <w:rStyle w:val="word-wrapper"/>
          <w:color w:val="242424"/>
          <w:sz w:val="25"/>
          <w:szCs w:val="25"/>
        </w:rPr>
        <w:t xml:space="preserve">2.1. проведение рубки, удаление, уничтожение, повреждение, изъятие деревьев дуба </w:t>
      </w:r>
      <w:proofErr w:type="spellStart"/>
      <w:r>
        <w:rPr>
          <w:rStyle w:val="word-wrapper"/>
          <w:color w:val="242424"/>
          <w:sz w:val="25"/>
          <w:szCs w:val="25"/>
        </w:rPr>
        <w:t>черешчатого</w:t>
      </w:r>
      <w:proofErr w:type="spellEnd"/>
      <w:r>
        <w:rPr>
          <w:rStyle w:val="word-wrapper"/>
          <w:color w:val="242424"/>
          <w:sz w:val="25"/>
          <w:szCs w:val="25"/>
        </w:rPr>
        <w:t xml:space="preserve">, бука, клена остролистного, вяза (ильма, береста), ясеня обыкновенного, липы, </w:t>
      </w:r>
      <w:proofErr w:type="spellStart"/>
      <w:r>
        <w:rPr>
          <w:rStyle w:val="word-wrapper"/>
          <w:color w:val="242424"/>
          <w:sz w:val="25"/>
          <w:szCs w:val="25"/>
        </w:rPr>
        <w:t>дугласии</w:t>
      </w:r>
      <w:proofErr w:type="spellEnd"/>
      <w:r>
        <w:rPr>
          <w:rStyle w:val="word-wrapper"/>
          <w:color w:val="242424"/>
          <w:sz w:val="25"/>
          <w:szCs w:val="25"/>
        </w:rPr>
        <w:t xml:space="preserve"> (</w:t>
      </w:r>
      <w:proofErr w:type="spellStart"/>
      <w:r>
        <w:rPr>
          <w:rStyle w:val="word-wrapper"/>
          <w:color w:val="242424"/>
          <w:sz w:val="25"/>
          <w:szCs w:val="25"/>
        </w:rPr>
        <w:t>псевдотсуги</w:t>
      </w:r>
      <w:proofErr w:type="spellEnd"/>
      <w:r>
        <w:rPr>
          <w:rStyle w:val="word-wrapper"/>
          <w:color w:val="242424"/>
          <w:sz w:val="25"/>
          <w:szCs w:val="25"/>
        </w:rPr>
        <w:t>), кедра, березы карельской (за исключением случаев их рубки по лесопатологическому состоянию и рубки (удаления) опасных или упавших деревьев);</w:t>
      </w:r>
      <w:proofErr w:type="gramEnd"/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word-wrapper"/>
          <w:color w:val="242424"/>
          <w:sz w:val="25"/>
          <w:szCs w:val="25"/>
        </w:rPr>
        <w:t>2.2. возведение объектов строительства, за исключением: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word-wrapper"/>
          <w:color w:val="242424"/>
          <w:sz w:val="25"/>
          <w:szCs w:val="25"/>
        </w:rPr>
        <w:t>инженерных сетей и транспортных коммуникаций;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word-wrapper"/>
          <w:color w:val="242424"/>
          <w:sz w:val="25"/>
          <w:szCs w:val="25"/>
        </w:rPr>
        <w:t>стоянок механических транспортных средств, домов охотника и (или) рыболова, эколого-информационных центров, сооружений для обустройства и (или) благоустройства пляжей и мест массового отдыха у воды, иных зон и мест отдыха, лодочных причалов, туристских стоянок, экологических троп в местах, определенных планом управления заказником или решением городского, районного исполнительного комитета;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word-wrapper"/>
          <w:color w:val="242424"/>
          <w:sz w:val="25"/>
          <w:szCs w:val="25"/>
        </w:rPr>
        <w:t>зданий и сооружений для целей ведения лесного и охотничьего хозяйства;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word-wrapper"/>
          <w:color w:val="242424"/>
          <w:sz w:val="25"/>
          <w:szCs w:val="25"/>
        </w:rPr>
        <w:t>объектов, предназначенных для установления, содержания и охраны Государственной границы Республики Беларусь;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word-wrapper"/>
          <w:color w:val="242424"/>
          <w:sz w:val="25"/>
          <w:szCs w:val="25"/>
        </w:rPr>
        <w:t>переноса в границах заказника существующих зданий и сооружений;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h-normal"/>
          <w:color w:val="242424"/>
          <w:sz w:val="25"/>
          <w:szCs w:val="25"/>
        </w:rPr>
        <w:t>2.3. расчистка растительности в прибрежных полосах и водной растительности, за исключением: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h-normal"/>
          <w:color w:val="242424"/>
          <w:sz w:val="25"/>
          <w:szCs w:val="25"/>
        </w:rPr>
        <w:t>мест для изъятия воды механическими транспортными средствами органов и подразделений по чрезвычайным ситуациям и юридических лиц, ведущих лесное хозяйство, при ликвидации чрезвычайной ситуац</w:t>
      </w:r>
      <w:proofErr w:type="gramStart"/>
      <w:r>
        <w:rPr>
          <w:rStyle w:val="h-normal"/>
          <w:color w:val="242424"/>
          <w:sz w:val="25"/>
          <w:szCs w:val="25"/>
        </w:rPr>
        <w:t>ии и ее</w:t>
      </w:r>
      <w:proofErr w:type="gramEnd"/>
      <w:r>
        <w:rPr>
          <w:rStyle w:val="h-normal"/>
          <w:color w:val="242424"/>
          <w:sz w:val="25"/>
          <w:szCs w:val="25"/>
        </w:rPr>
        <w:t xml:space="preserve"> последствий;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h-normal"/>
          <w:color w:val="242424"/>
          <w:sz w:val="25"/>
          <w:szCs w:val="25"/>
        </w:rPr>
        <w:t>участков, определенных планом управления заказником или решением городского, районного исполнительного комитета для обустройства пляжей и мест массового отдыха у воды, баз (сооружений) для стоянки маломерных судов, лодочных причалов;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h-normal"/>
          <w:color w:val="242424"/>
          <w:sz w:val="25"/>
          <w:szCs w:val="25"/>
        </w:rPr>
        <w:t>проведения мероприятий по предотвращению зарастания сельскохозяйственных земель и открытых болот древесно-кустарниковой растительностью;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word-wrapper"/>
          <w:color w:val="242424"/>
          <w:sz w:val="25"/>
          <w:szCs w:val="25"/>
        </w:rPr>
        <w:t>2.4. изъятие воды для промышленных и хозяйственных нужд из водных объектов (при их наличии), перечень которых определяется положением о заказнике;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word-wrapper"/>
          <w:color w:val="242424"/>
          <w:sz w:val="25"/>
          <w:szCs w:val="25"/>
        </w:rPr>
        <w:t>2.5. выпас скота, сенокошение в прибрежных полосах в период с 1 апреля по 15 июня.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word-wrapper"/>
          <w:color w:val="242424"/>
          <w:sz w:val="25"/>
          <w:szCs w:val="25"/>
        </w:rPr>
        <w:t>3. На отдельных участках заказника, определенных положением о заказнике, запрещаются: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word-wrapper"/>
          <w:color w:val="242424"/>
          <w:sz w:val="25"/>
          <w:szCs w:val="25"/>
        </w:rPr>
        <w:t>3.1. проведение рубок леса, за исключением: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word-wrapper"/>
          <w:color w:val="242424"/>
          <w:sz w:val="25"/>
          <w:szCs w:val="25"/>
        </w:rPr>
        <w:t>рубок опасных в отношении автомобильных дорог, воздушных линий связи и электропередачи деревьев;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word-wrapper"/>
          <w:color w:val="242424"/>
          <w:sz w:val="25"/>
          <w:szCs w:val="25"/>
        </w:rPr>
        <w:t>рубок леса, проводимых при проведении мероприятий по предотвращению зарастания открытых болот древесно-кустарниковой растительностью;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h-normal"/>
          <w:color w:val="242424"/>
          <w:sz w:val="25"/>
          <w:szCs w:val="25"/>
        </w:rPr>
        <w:t>рубок леса, проводимых при проведении мероприятий по сохранению и восстановлению (</w:t>
      </w:r>
      <w:proofErr w:type="spellStart"/>
      <w:r>
        <w:rPr>
          <w:rStyle w:val="h-normal"/>
          <w:color w:val="242424"/>
          <w:sz w:val="25"/>
          <w:szCs w:val="25"/>
        </w:rPr>
        <w:t>реинтродукции</w:t>
      </w:r>
      <w:proofErr w:type="spellEnd"/>
      <w:r>
        <w:rPr>
          <w:rStyle w:val="h-normal"/>
          <w:color w:val="242424"/>
          <w:sz w:val="25"/>
          <w:szCs w:val="25"/>
        </w:rPr>
        <w:t xml:space="preserve">) популяций диких животных и дикорастущих растений, относящихся к видам, включенным в Красную книгу Республики Беларусь, </w:t>
      </w:r>
      <w:r>
        <w:rPr>
          <w:rStyle w:val="h-normal"/>
          <w:color w:val="242424"/>
          <w:sz w:val="25"/>
          <w:szCs w:val="25"/>
        </w:rPr>
        <w:lastRenderedPageBreak/>
        <w:t>и (или) к видам, подпадающим под действие международных договоров Республики Беларусь;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h-normal"/>
          <w:color w:val="242424"/>
          <w:sz w:val="25"/>
          <w:szCs w:val="25"/>
        </w:rPr>
        <w:t>выборочных санитарных рубок;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proofErr w:type="gramStart"/>
      <w:r>
        <w:rPr>
          <w:rStyle w:val="word-wrapper"/>
          <w:color w:val="242424"/>
          <w:sz w:val="25"/>
          <w:szCs w:val="25"/>
        </w:rPr>
        <w:t>сплошных санитарных рубок в случаях повреждения, гибели, утраты биологической устойчивости лесных насаждений в результате воздействия вредителей и болезней лесов, лесных пожаров, неблагоприятных факторов окружающей среды, хозяйственной и иной деятельности, вызвавшего необратимую потерю их жизнеспособности и (или) способности выполнять целевые функции, если лесохозяйственные мероприятия не могут привести к сохранению и оздоровлению насаждений;</w:t>
      </w:r>
      <w:proofErr w:type="gramEnd"/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word-wrapper"/>
          <w:color w:val="242424"/>
          <w:sz w:val="25"/>
          <w:szCs w:val="25"/>
        </w:rPr>
        <w:t>рубок, проводимых при прокладке квартальных просек, создании противопожарных разрывов и их содержании;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word-wrapper"/>
          <w:color w:val="242424"/>
          <w:sz w:val="25"/>
          <w:szCs w:val="25"/>
        </w:rPr>
        <w:t>3.2. проведение рубок главного пользования;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word-wrapper"/>
          <w:color w:val="242424"/>
          <w:sz w:val="25"/>
          <w:szCs w:val="25"/>
        </w:rPr>
        <w:t>3.3. проведение полосно-постепенных рубок главного пользования;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word-wrapper"/>
          <w:color w:val="242424"/>
          <w:sz w:val="25"/>
          <w:szCs w:val="25"/>
        </w:rPr>
        <w:t>3.4. проведение рубок обновления, рубок формирования (переформирования);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h-normal"/>
          <w:color w:val="242424"/>
          <w:sz w:val="25"/>
          <w:szCs w:val="25"/>
        </w:rPr>
        <w:t>3.5. проведение уборки захламленности;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h-normal"/>
          <w:color w:val="242424"/>
          <w:sz w:val="25"/>
          <w:szCs w:val="25"/>
        </w:rPr>
        <w:t>3.6. заготовка живицы;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h-normal"/>
          <w:color w:val="242424"/>
          <w:sz w:val="25"/>
          <w:szCs w:val="25"/>
        </w:rPr>
        <w:t>3.7. осуществление охоты, рыболовства и иных видов пользования объектами животного мира в сроки, определенные положением о заказнике;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h-normal"/>
          <w:color w:val="242424"/>
          <w:sz w:val="25"/>
          <w:szCs w:val="25"/>
        </w:rPr>
        <w:t>3.8. заготовка древесных соков и осуществление иных видов пользования объектами растительного мира в сроки, определенные положением о заказнике;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h-normal"/>
          <w:color w:val="242424"/>
          <w:sz w:val="25"/>
          <w:szCs w:val="25"/>
        </w:rPr>
        <w:t>3.9. выпас скота, сенокошение;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h-normal"/>
          <w:color w:val="242424"/>
          <w:sz w:val="25"/>
          <w:szCs w:val="25"/>
        </w:rPr>
        <w:t>3.10. лесоразведение.</w:t>
      </w:r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word-wrapper"/>
          <w:color w:val="242424"/>
          <w:sz w:val="25"/>
          <w:szCs w:val="25"/>
        </w:rPr>
        <w:t xml:space="preserve">4. </w:t>
      </w:r>
      <w:proofErr w:type="gramStart"/>
      <w:r>
        <w:rPr>
          <w:rStyle w:val="word-wrapper"/>
          <w:color w:val="242424"/>
          <w:sz w:val="25"/>
          <w:szCs w:val="25"/>
        </w:rPr>
        <w:t xml:space="preserve">В границах заказника помимо установленных настоящим Законом ограничений и запретов на осуществление хозяйственной и иной деятельности положением о заказнике при обоснованной необходимости, указанной в </w:t>
      </w:r>
      <w:proofErr w:type="spellStart"/>
      <w:r>
        <w:rPr>
          <w:rStyle w:val="word-wrapper"/>
          <w:color w:val="242424"/>
          <w:sz w:val="25"/>
          <w:szCs w:val="25"/>
        </w:rPr>
        <w:t>НиТЭО</w:t>
      </w:r>
      <w:proofErr w:type="spellEnd"/>
      <w:r>
        <w:rPr>
          <w:rStyle w:val="word-wrapper"/>
          <w:color w:val="242424"/>
          <w:sz w:val="25"/>
          <w:szCs w:val="25"/>
        </w:rPr>
        <w:t xml:space="preserve"> объявления, преобразования заказника, в соответствии с законодательными актами могут быть установлены дополнительные ограничения и запреты, необходимые для обеспечения сохранности ценных природных комплексов и объектов в границах заказника.</w:t>
      </w:r>
      <w:proofErr w:type="gramEnd"/>
    </w:p>
    <w:p w:rsidR="00814AC8" w:rsidRDefault="00814AC8" w:rsidP="00814AC8">
      <w:pPr>
        <w:pStyle w:val="p-normal"/>
        <w:shd w:val="clear" w:color="auto" w:fill="FFFFFF"/>
        <w:spacing w:before="0" w:beforeAutospacing="0" w:after="0" w:afterAutospacing="0"/>
        <w:ind w:firstLine="376"/>
        <w:jc w:val="both"/>
        <w:rPr>
          <w:color w:val="242424"/>
          <w:sz w:val="25"/>
          <w:szCs w:val="25"/>
        </w:rPr>
      </w:pPr>
      <w:r>
        <w:rPr>
          <w:rStyle w:val="word-wrapper"/>
          <w:color w:val="242424"/>
          <w:sz w:val="25"/>
          <w:szCs w:val="25"/>
        </w:rPr>
        <w:t>5. В случае ликвидации чрезвычайной ситуац</w:t>
      </w:r>
      <w:proofErr w:type="gramStart"/>
      <w:r>
        <w:rPr>
          <w:rStyle w:val="word-wrapper"/>
          <w:color w:val="242424"/>
          <w:sz w:val="25"/>
          <w:szCs w:val="25"/>
        </w:rPr>
        <w:t>ии и ее</w:t>
      </w:r>
      <w:proofErr w:type="gramEnd"/>
      <w:r>
        <w:rPr>
          <w:rStyle w:val="word-wrapper"/>
          <w:color w:val="242424"/>
          <w:sz w:val="25"/>
          <w:szCs w:val="25"/>
        </w:rPr>
        <w:t xml:space="preserve"> последствий в границах заказника допускается проведение выборочных санитарных рубок, сплошных санитарных рубок, а также не применяются ограничения и запреты, установленные подпунктами 2.1</w:t>
      </w:r>
      <w:r>
        <w:rPr>
          <w:rStyle w:val="fake-non-breaking-space"/>
          <w:color w:val="242424"/>
          <w:sz w:val="25"/>
          <w:szCs w:val="25"/>
        </w:rPr>
        <w:t> </w:t>
      </w:r>
      <w:r>
        <w:rPr>
          <w:rStyle w:val="word-wrapper"/>
          <w:color w:val="242424"/>
          <w:sz w:val="25"/>
          <w:szCs w:val="25"/>
        </w:rPr>
        <w:t>и 2.4 пункта 2</w:t>
      </w:r>
      <w:r>
        <w:rPr>
          <w:rStyle w:val="fake-non-breaking-space"/>
          <w:color w:val="242424"/>
          <w:sz w:val="25"/>
          <w:szCs w:val="25"/>
        </w:rPr>
        <w:t> </w:t>
      </w:r>
      <w:r>
        <w:rPr>
          <w:rStyle w:val="word-wrapper"/>
          <w:color w:val="242424"/>
          <w:sz w:val="25"/>
          <w:szCs w:val="25"/>
        </w:rPr>
        <w:t>настоящей статьи.</w:t>
      </w:r>
    </w:p>
    <w:p w:rsidR="00814AC8" w:rsidRPr="00814AC8" w:rsidRDefault="00814AC8" w:rsidP="00814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</w:pPr>
      <w:r w:rsidRPr="00814AC8">
        <w:rPr>
          <w:rFonts w:ascii="Times New Roman" w:eastAsia="Times New Roman" w:hAnsi="Times New Roman" w:cs="Times New Roman"/>
          <w:color w:val="242424"/>
          <w:sz w:val="25"/>
          <w:szCs w:val="25"/>
          <w:lang w:eastAsia="ru-RU"/>
        </w:rPr>
        <w:br/>
      </w:r>
    </w:p>
    <w:p w:rsidR="00336D3A" w:rsidRDefault="00336D3A"/>
    <w:sectPr w:rsidR="00336D3A" w:rsidSect="00336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4AC8"/>
    <w:rsid w:val="00245E70"/>
    <w:rsid w:val="002C4758"/>
    <w:rsid w:val="00336D3A"/>
    <w:rsid w:val="00814AC8"/>
    <w:rsid w:val="00AB3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81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14AC8"/>
  </w:style>
  <w:style w:type="character" w:customStyle="1" w:styleId="fake-non-breaking-space">
    <w:name w:val="fake-non-breaking-space"/>
    <w:basedOn w:val="a0"/>
    <w:rsid w:val="00814AC8"/>
  </w:style>
  <w:style w:type="character" w:styleId="a3">
    <w:name w:val="Hyperlink"/>
    <w:basedOn w:val="a0"/>
    <w:uiPriority w:val="99"/>
    <w:semiHidden/>
    <w:unhideWhenUsed/>
    <w:rsid w:val="00814AC8"/>
    <w:rPr>
      <w:color w:val="0000FF"/>
      <w:u w:val="single"/>
    </w:rPr>
  </w:style>
  <w:style w:type="character" w:customStyle="1" w:styleId="h-normal">
    <w:name w:val="h-normal"/>
    <w:basedOn w:val="a0"/>
    <w:rsid w:val="00814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6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7</Pages>
  <Words>3013</Words>
  <Characters>17178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Raikom</dc:creator>
  <cp:lastModifiedBy>Raikom</cp:lastModifiedBy>
  <cp:revision>1</cp:revision>
  <dcterms:created xsi:type="dcterms:W3CDTF">2024-08-13T08:03:00Z</dcterms:created>
  <dcterms:modified xsi:type="dcterms:W3CDTF">2024-08-13T14:37:00Z</dcterms:modified>
</cp:coreProperties>
</file>