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240053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AB0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240053"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</w:t>
      </w:r>
      <w:r w:rsidR="00240053">
        <w:rPr>
          <w:sz w:val="30"/>
          <w:szCs w:val="30"/>
        </w:rPr>
        <w:t>5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240053">
        <w:rPr>
          <w:i/>
          <w:sz w:val="30"/>
          <w:szCs w:val="30"/>
        </w:rPr>
        <w:t>3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6E0802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240053">
        <w:rPr>
          <w:b/>
          <w:i/>
          <w:sz w:val="30"/>
          <w:szCs w:val="30"/>
          <w:u w:val="single"/>
        </w:rPr>
        <w:t>,</w:t>
      </w:r>
      <w:r w:rsidR="006E0802">
        <w:rPr>
          <w:b/>
          <w:i/>
          <w:sz w:val="30"/>
          <w:szCs w:val="30"/>
          <w:u w:val="single"/>
        </w:rPr>
        <w:t xml:space="preserve">  переработка</w:t>
      </w:r>
      <w:r w:rsidR="00240053">
        <w:rPr>
          <w:b/>
          <w:i/>
          <w:sz w:val="30"/>
          <w:szCs w:val="30"/>
          <w:u w:val="single"/>
        </w:rPr>
        <w:t xml:space="preserve"> и внесение доломитовой муки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>
        <w:rPr>
          <w:b/>
          <w:i/>
          <w:sz w:val="30"/>
          <w:szCs w:val="30"/>
          <w:u w:val="single"/>
        </w:rPr>
        <w:t>и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240053">
        <w:rPr>
          <w:i/>
          <w:sz w:val="30"/>
          <w:szCs w:val="30"/>
        </w:rPr>
        <w:t>Известкование кислых почв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6E0802">
        <w:rPr>
          <w:i/>
          <w:sz w:val="30"/>
          <w:szCs w:val="30"/>
          <w:u w:val="single"/>
        </w:rPr>
        <w:t>Д</w:t>
      </w:r>
      <w:r w:rsidRPr="00715447">
        <w:rPr>
          <w:i/>
          <w:sz w:val="30"/>
          <w:szCs w:val="30"/>
          <w:u w:val="single"/>
        </w:rPr>
        <w:t>оставка</w:t>
      </w:r>
      <w:r w:rsidR="00240053">
        <w:rPr>
          <w:i/>
          <w:sz w:val="30"/>
          <w:szCs w:val="30"/>
          <w:u w:val="single"/>
        </w:rPr>
        <w:t xml:space="preserve">, </w:t>
      </w:r>
      <w:r w:rsidR="006E0802">
        <w:rPr>
          <w:i/>
          <w:sz w:val="30"/>
          <w:szCs w:val="30"/>
          <w:u w:val="single"/>
        </w:rPr>
        <w:t>переработка</w:t>
      </w:r>
      <w:r w:rsidRPr="00715447">
        <w:rPr>
          <w:i/>
          <w:sz w:val="30"/>
          <w:szCs w:val="30"/>
          <w:u w:val="single"/>
        </w:rPr>
        <w:t xml:space="preserve"> </w:t>
      </w:r>
      <w:r w:rsidR="00240053">
        <w:rPr>
          <w:i/>
          <w:sz w:val="30"/>
          <w:szCs w:val="30"/>
          <w:u w:val="single"/>
        </w:rPr>
        <w:t xml:space="preserve">и внесение </w:t>
      </w:r>
      <w:r w:rsidR="009F50A8">
        <w:rPr>
          <w:i/>
          <w:sz w:val="30"/>
          <w:szCs w:val="30"/>
          <w:u w:val="single"/>
        </w:rPr>
        <w:t xml:space="preserve"> </w:t>
      </w:r>
      <w:r w:rsidR="00240053">
        <w:rPr>
          <w:i/>
          <w:sz w:val="30"/>
          <w:szCs w:val="30"/>
          <w:u w:val="single"/>
        </w:rPr>
        <w:t xml:space="preserve">доломитовой муки </w:t>
      </w:r>
      <w:r w:rsidRPr="00715447">
        <w:rPr>
          <w:i/>
          <w:sz w:val="30"/>
          <w:szCs w:val="30"/>
          <w:u w:val="single"/>
        </w:rPr>
        <w:t>на загрязненны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земл</w:t>
      </w:r>
      <w:r>
        <w:rPr>
          <w:i/>
          <w:sz w:val="30"/>
          <w:szCs w:val="30"/>
          <w:u w:val="single"/>
        </w:rPr>
        <w:t>и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>
        <w:rPr>
          <w:i/>
          <w:sz w:val="30"/>
          <w:szCs w:val="30"/>
        </w:rPr>
        <w:t xml:space="preserve"> </w:t>
      </w:r>
      <w:r w:rsidR="00AF16B9">
        <w:rPr>
          <w:i/>
          <w:sz w:val="30"/>
          <w:szCs w:val="30"/>
        </w:rPr>
        <w:t>д</w:t>
      </w:r>
      <w:r>
        <w:rPr>
          <w:i/>
          <w:sz w:val="30"/>
          <w:szCs w:val="30"/>
        </w:rPr>
        <w:t>оставк</w:t>
      </w:r>
      <w:r w:rsidR="00DC3606">
        <w:rPr>
          <w:i/>
          <w:sz w:val="30"/>
          <w:szCs w:val="30"/>
        </w:rPr>
        <w:t>е</w:t>
      </w:r>
      <w:r w:rsidR="00AF16B9">
        <w:rPr>
          <w:i/>
          <w:sz w:val="30"/>
          <w:szCs w:val="30"/>
        </w:rPr>
        <w:t>, переработке</w:t>
      </w:r>
      <w:r>
        <w:rPr>
          <w:i/>
          <w:sz w:val="30"/>
          <w:szCs w:val="30"/>
        </w:rPr>
        <w:t xml:space="preserve"> и внесени</w:t>
      </w:r>
      <w:r w:rsidR="00DC3606">
        <w:rPr>
          <w:i/>
          <w:sz w:val="30"/>
          <w:szCs w:val="30"/>
        </w:rPr>
        <w:t>ю</w:t>
      </w:r>
      <w:r>
        <w:rPr>
          <w:i/>
          <w:sz w:val="30"/>
          <w:szCs w:val="30"/>
        </w:rPr>
        <w:t xml:space="preserve"> </w:t>
      </w:r>
      <w:r w:rsidR="00AF16B9">
        <w:rPr>
          <w:i/>
          <w:sz w:val="30"/>
          <w:szCs w:val="30"/>
        </w:rPr>
        <w:t xml:space="preserve">доломитовой муки </w:t>
      </w:r>
      <w:r w:rsidRPr="00715447">
        <w:rPr>
          <w:i/>
          <w:sz w:val="30"/>
          <w:szCs w:val="30"/>
        </w:rPr>
        <w:t xml:space="preserve">на загрязненных радионуклидами сельскохозяйственных землях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3781"/>
        <w:gridCol w:w="2693"/>
        <w:gridCol w:w="2268"/>
      </w:tblGrid>
      <w:tr w:rsidR="00B426CD" w:rsidTr="00B426CD">
        <w:tc>
          <w:tcPr>
            <w:tcW w:w="580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781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4961" w:type="dxa"/>
            <w:gridSpan w:val="2"/>
          </w:tcPr>
          <w:p w:rsidR="00B426CD" w:rsidRPr="006B55FB" w:rsidRDefault="00B426CD" w:rsidP="00AF16B9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включая сто</w:t>
            </w:r>
            <w:r>
              <w:rPr>
                <w:i/>
              </w:rPr>
              <w:t>имость доставки переработки</w:t>
            </w:r>
            <w:r w:rsidRPr="006B55FB">
              <w:rPr>
                <w:i/>
              </w:rPr>
              <w:t xml:space="preserve"> </w:t>
            </w:r>
            <w:r w:rsidR="00AF16B9">
              <w:rPr>
                <w:i/>
              </w:rPr>
              <w:t>и внесения доломитовой муки</w:t>
            </w:r>
            <w:r w:rsidRPr="006B55FB">
              <w:rPr>
                <w:i/>
              </w:rPr>
              <w:t>, рублей</w:t>
            </w:r>
          </w:p>
        </w:tc>
      </w:tr>
      <w:tr w:rsidR="00B426CD" w:rsidTr="00B426CD"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B426CD" w:rsidRPr="002370A9" w:rsidRDefault="00B426CD" w:rsidP="006B55FB">
            <w:pPr>
              <w:jc w:val="center"/>
            </w:pPr>
          </w:p>
        </w:tc>
        <w:tc>
          <w:tcPr>
            <w:tcW w:w="3781" w:type="dxa"/>
            <w:vMerge/>
          </w:tcPr>
          <w:p w:rsidR="00B426CD" w:rsidRPr="002370A9" w:rsidRDefault="00B426CD" w:rsidP="006B55FB">
            <w:pPr>
              <w:jc w:val="both"/>
            </w:pPr>
          </w:p>
        </w:tc>
        <w:tc>
          <w:tcPr>
            <w:tcW w:w="2693" w:type="dxa"/>
          </w:tcPr>
          <w:p w:rsidR="00B426CD" w:rsidRPr="002370A9" w:rsidRDefault="00AF16B9" w:rsidP="006B55FB">
            <w:pPr>
              <w:jc w:val="center"/>
            </w:pPr>
            <w:r>
              <w:t>д</w:t>
            </w:r>
            <w:r w:rsidR="00B426CD">
              <w:t>оставка</w:t>
            </w:r>
            <w:r>
              <w:t xml:space="preserve"> и внесение</w:t>
            </w:r>
          </w:p>
        </w:tc>
        <w:tc>
          <w:tcPr>
            <w:tcW w:w="2268" w:type="dxa"/>
          </w:tcPr>
          <w:p w:rsidR="00B426CD" w:rsidRPr="002370A9" w:rsidRDefault="00B426CD" w:rsidP="006B55FB">
            <w:pPr>
              <w:jc w:val="center"/>
            </w:pPr>
            <w:r>
              <w:t>переработка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383257" w:rsidRDefault="00561D83" w:rsidP="00DA7C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49353,26</w:t>
            </w:r>
          </w:p>
        </w:tc>
        <w:tc>
          <w:tcPr>
            <w:tcW w:w="2268" w:type="dxa"/>
            <w:vAlign w:val="center"/>
          </w:tcPr>
          <w:p w:rsidR="00B426CD" w:rsidRPr="005B2AD9" w:rsidRDefault="00561D83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29869,76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2693" w:type="dxa"/>
            <w:vAlign w:val="center"/>
          </w:tcPr>
          <w:p w:rsidR="00B426CD" w:rsidRPr="00383257" w:rsidRDefault="00561D83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25985,89</w:t>
            </w:r>
          </w:p>
        </w:tc>
        <w:tc>
          <w:tcPr>
            <w:tcW w:w="2268" w:type="dxa"/>
            <w:vAlign w:val="center"/>
          </w:tcPr>
          <w:p w:rsidR="00B426CD" w:rsidRPr="005B2AD9" w:rsidRDefault="00561D83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14179,47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2693" w:type="dxa"/>
            <w:vAlign w:val="center"/>
          </w:tcPr>
          <w:p w:rsidR="00B426CD" w:rsidRPr="00DA7CF8" w:rsidRDefault="00561D83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35588,50</w:t>
            </w:r>
          </w:p>
        </w:tc>
        <w:tc>
          <w:tcPr>
            <w:tcW w:w="2268" w:type="dxa"/>
            <w:vAlign w:val="center"/>
          </w:tcPr>
          <w:p w:rsidR="00B426CD" w:rsidRPr="005B2AD9" w:rsidRDefault="00561D83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9230,59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Ботвиново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AB4B77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20071,65</w:t>
            </w:r>
          </w:p>
        </w:tc>
        <w:tc>
          <w:tcPr>
            <w:tcW w:w="2268" w:type="dxa"/>
            <w:vAlign w:val="center"/>
          </w:tcPr>
          <w:p w:rsidR="00B426CD" w:rsidRPr="005B2AD9" w:rsidRDefault="00AB4B77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9750,80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2693" w:type="dxa"/>
            <w:vAlign w:val="center"/>
          </w:tcPr>
          <w:p w:rsidR="00B426CD" w:rsidRPr="001846B3" w:rsidRDefault="00AB4B77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28416,17</w:t>
            </w:r>
          </w:p>
        </w:tc>
        <w:tc>
          <w:tcPr>
            <w:tcW w:w="2268" w:type="dxa"/>
            <w:vAlign w:val="center"/>
          </w:tcPr>
          <w:p w:rsidR="00B426CD" w:rsidRPr="005B2AD9" w:rsidRDefault="00AB4B77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11676,28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E95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КСУП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РовковичиАгро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AB4B77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56603,86</w:t>
            </w:r>
          </w:p>
        </w:tc>
        <w:tc>
          <w:tcPr>
            <w:tcW w:w="2268" w:type="dxa"/>
            <w:vAlign w:val="center"/>
          </w:tcPr>
          <w:p w:rsidR="00B426CD" w:rsidRPr="005B2AD9" w:rsidRDefault="00AB4B77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39423,77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shd w:val="clear" w:color="auto" w:fill="auto"/>
          </w:tcPr>
          <w:p w:rsidR="00B426CD" w:rsidRPr="002370A9" w:rsidRDefault="00B426CD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693" w:type="dxa"/>
            <w:vAlign w:val="center"/>
          </w:tcPr>
          <w:p w:rsidR="00B426CD" w:rsidRPr="00DA7CF8" w:rsidRDefault="00AB4B77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216019,33</w:t>
            </w:r>
          </w:p>
        </w:tc>
        <w:tc>
          <w:tcPr>
            <w:tcW w:w="2268" w:type="dxa"/>
            <w:vAlign w:val="center"/>
          </w:tcPr>
          <w:p w:rsidR="00B426CD" w:rsidRPr="00DA7CF8" w:rsidRDefault="00AB4B77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114130,67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AB4B77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330150</w:t>
      </w:r>
      <w:r w:rsidR="007F45CA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</w:t>
      </w:r>
      <w:r>
        <w:rPr>
          <w:i/>
          <w:sz w:val="30"/>
          <w:szCs w:val="30"/>
        </w:rPr>
        <w:lastRenderedPageBreak/>
        <w:t xml:space="preserve">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B426CD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AB4B77">
        <w:rPr>
          <w:b/>
          <w:i/>
          <w:sz w:val="30"/>
          <w:szCs w:val="30"/>
          <w:u w:val="single"/>
        </w:rPr>
        <w:t>,</w:t>
      </w:r>
      <w:r w:rsidR="00B426CD">
        <w:rPr>
          <w:b/>
          <w:i/>
          <w:sz w:val="30"/>
          <w:szCs w:val="30"/>
          <w:u w:val="single"/>
        </w:rPr>
        <w:t xml:space="preserve">  переработка</w:t>
      </w:r>
      <w:r w:rsidR="00AB4B77">
        <w:rPr>
          <w:b/>
          <w:i/>
          <w:sz w:val="30"/>
          <w:szCs w:val="30"/>
          <w:u w:val="single"/>
        </w:rPr>
        <w:t xml:space="preserve"> и внесение</w:t>
      </w:r>
      <w:r w:rsidR="00FF5023">
        <w:rPr>
          <w:b/>
          <w:i/>
          <w:sz w:val="30"/>
          <w:szCs w:val="30"/>
          <w:u w:val="single"/>
        </w:rPr>
        <w:t xml:space="preserve"> </w:t>
      </w:r>
      <w:r w:rsidR="00AB4B77">
        <w:rPr>
          <w:b/>
          <w:i/>
          <w:sz w:val="30"/>
          <w:szCs w:val="30"/>
          <w:u w:val="single"/>
        </w:rPr>
        <w:t>доломитовой муки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E17F67">
        <w:rPr>
          <w:i/>
          <w:sz w:val="30"/>
          <w:szCs w:val="30"/>
        </w:rPr>
        <w:t>1</w:t>
      </w:r>
      <w:r w:rsidR="00AF583F">
        <w:rPr>
          <w:i/>
          <w:sz w:val="30"/>
          <w:szCs w:val="30"/>
        </w:rPr>
        <w:t>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 xml:space="preserve">- функционирование организации не менее 3-х лет </w:t>
      </w:r>
      <w:proofErr w:type="gramStart"/>
      <w:r w:rsidRPr="00A260F6">
        <w:rPr>
          <w:sz w:val="30"/>
          <w:szCs w:val="30"/>
        </w:rPr>
        <w:t>с даты</w:t>
      </w:r>
      <w:proofErr w:type="gramEnd"/>
      <w:r w:rsidRPr="00A260F6">
        <w:rPr>
          <w:sz w:val="30"/>
          <w:szCs w:val="30"/>
        </w:rPr>
        <w:t xml:space="preserve">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 xml:space="preserve">конкурса одного из двух экземпляров договора на выполнение мероприятия, полученных им от организатора конкурса, </w:t>
      </w:r>
      <w:r w:rsidRPr="00744A2E">
        <w:rPr>
          <w:rFonts w:eastAsia="Times New Roman"/>
          <w:i/>
          <w:sz w:val="30"/>
          <w:szCs w:val="30"/>
        </w:rPr>
        <w:lastRenderedPageBreak/>
        <w:t>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3</w:t>
      </w:r>
      <w:r w:rsidR="00556B4D">
        <w:rPr>
          <w:rFonts w:ascii="Times New Roman" w:hAnsi="Times New Roman" w:cs="Times New Roman"/>
          <w:i/>
          <w:sz w:val="30"/>
          <w:szCs w:val="30"/>
          <w:lang w:val="ru-RU"/>
        </w:rPr>
        <w:t>3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 xml:space="preserve">0 </w:t>
      </w:r>
      <w:r w:rsidR="00556B4D">
        <w:rPr>
          <w:rFonts w:ascii="Times New Roman" w:hAnsi="Times New Roman" w:cs="Times New Roman"/>
          <w:i/>
          <w:sz w:val="30"/>
          <w:szCs w:val="30"/>
          <w:lang w:val="ru-RU"/>
        </w:rPr>
        <w:t>150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 xml:space="preserve">Триста </w:t>
      </w:r>
      <w:r w:rsidR="00556B4D">
        <w:rPr>
          <w:rFonts w:ascii="Times New Roman" w:hAnsi="Times New Roman" w:cs="Times New Roman"/>
          <w:i/>
          <w:sz w:val="30"/>
          <w:szCs w:val="30"/>
          <w:lang w:val="ru-RU"/>
        </w:rPr>
        <w:t>тридцать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 </w:t>
      </w:r>
      <w:r w:rsidR="00556B4D">
        <w:rPr>
          <w:rFonts w:ascii="Times New Roman" w:hAnsi="Times New Roman" w:cs="Times New Roman"/>
          <w:i/>
          <w:sz w:val="30"/>
          <w:szCs w:val="30"/>
          <w:lang w:val="ru-RU"/>
        </w:rPr>
        <w:t>сто пятьдесят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DD7944">
        <w:rPr>
          <w:sz w:val="28"/>
          <w:szCs w:val="28"/>
        </w:rPr>
        <w:t>11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>такие сведения включены в</w:t>
      </w:r>
      <w:r w:rsidR="00556B4D">
        <w:rPr>
          <w:rFonts w:eastAsia="Times New Roman"/>
          <w:sz w:val="20"/>
          <w:szCs w:val="20"/>
        </w:rPr>
        <w:t xml:space="preserve"> </w:t>
      </w:r>
      <w:r w:rsidRPr="00B5025E">
        <w:rPr>
          <w:rFonts w:eastAsia="Times New Roman"/>
          <w:sz w:val="20"/>
          <w:szCs w:val="20"/>
        </w:rPr>
        <w:t>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1629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46FB9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40053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3E3CA7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56B4D"/>
    <w:rsid w:val="00561D83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00C7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55735"/>
    <w:rsid w:val="00A808EB"/>
    <w:rsid w:val="00AB1077"/>
    <w:rsid w:val="00AB4B77"/>
    <w:rsid w:val="00AC3241"/>
    <w:rsid w:val="00AD1AF1"/>
    <w:rsid w:val="00AE0F1B"/>
    <w:rsid w:val="00AF16B9"/>
    <w:rsid w:val="00AF583F"/>
    <w:rsid w:val="00B17500"/>
    <w:rsid w:val="00B20734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D7944"/>
    <w:rsid w:val="00DE7BA9"/>
    <w:rsid w:val="00E016AD"/>
    <w:rsid w:val="00E07A60"/>
    <w:rsid w:val="00E17F67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2026-01-23T12:28:00Z</cp:lastPrinted>
  <dcterms:created xsi:type="dcterms:W3CDTF">2026-02-12T11:40:00Z</dcterms:created>
  <dcterms:modified xsi:type="dcterms:W3CDTF">2026-02-12T12:34:00Z</dcterms:modified>
</cp:coreProperties>
</file>