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19" w:rsidRDefault="00D12B09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Как защитить граждан от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:rsidR="00671419" w:rsidRDefault="00671419">
      <w:pPr>
        <w:spacing w:after="0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постоянно совершен</w:t>
      </w:r>
      <w:r>
        <w:rPr>
          <w:rFonts w:ascii="Times New Roman" w:hAnsi="Times New Roman" w:cs="Times New Roman"/>
          <w:sz w:val="30"/>
          <w:szCs w:val="30"/>
        </w:rPr>
        <w:t>ствуют методы обмана, используя новые технологии и социальную инженерию. Ваша задача — быть в курсе актуальных схем и уметь донести эту информацию до граждан. Ниже представлены наиболее распространённые сценарии мошенничеств и рекомендации по профилактике.</w:t>
      </w:r>
    </w:p>
    <w:p w:rsidR="00671419" w:rsidRDefault="00D12B0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схемы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кибермошенничества</w:t>
      </w:r>
      <w:proofErr w:type="spellEnd"/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Мошенничество под видом работников коммунальных служб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и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Злоумышленники выдают себя </w:t>
      </w:r>
      <w:r>
        <w:rPr>
          <w:rFonts w:ascii="Times New Roman" w:hAnsi="Times New Roman" w:cs="Times New Roman"/>
          <w:sz w:val="30"/>
          <w:szCs w:val="30"/>
        </w:rPr>
        <w:br/>
        <w:t>за сотрудников коммунальных служб (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>, водоканала, газовой службы), а также представителей правоохр</w:t>
      </w:r>
      <w:r>
        <w:rPr>
          <w:rFonts w:ascii="Times New Roman" w:hAnsi="Times New Roman" w:cs="Times New Roman"/>
          <w:sz w:val="30"/>
          <w:szCs w:val="30"/>
        </w:rPr>
        <w:t xml:space="preserve">анительных органов, банков или других государственных структур. Они могут звонить </w:t>
      </w:r>
      <w:r>
        <w:rPr>
          <w:rFonts w:ascii="Times New Roman" w:hAnsi="Times New Roman" w:cs="Times New Roman"/>
          <w:sz w:val="30"/>
          <w:szCs w:val="30"/>
        </w:rPr>
        <w:br/>
        <w:t xml:space="preserve">по телефону, в том числе по стационарной линии, или использовать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мессенджеры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</w:rPr>
        <w:t>Viber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>
        <w:rPr>
          <w:rFonts w:ascii="Times New Roman" w:hAnsi="Times New Roman" w:cs="Times New Roman"/>
          <w:sz w:val="30"/>
          <w:szCs w:val="30"/>
        </w:rPr>
        <w:t>). Цель — под любым предлогом получить личные данные, реквизиты банков</w:t>
      </w:r>
      <w:r>
        <w:rPr>
          <w:rFonts w:ascii="Times New Roman" w:hAnsi="Times New Roman" w:cs="Times New Roman"/>
          <w:sz w:val="30"/>
          <w:szCs w:val="30"/>
        </w:rPr>
        <w:t xml:space="preserve">ских карт или вынудить перевести деньги на «безопасные» счета. Часто работают </w:t>
      </w:r>
      <w:r>
        <w:rPr>
          <w:rFonts w:ascii="Times New Roman" w:hAnsi="Times New Roman" w:cs="Times New Roman"/>
          <w:sz w:val="30"/>
          <w:szCs w:val="30"/>
        </w:rPr>
        <w:br/>
        <w:t>в паре: один представляется сотрудником коммунальной службы, другой – правоохранительных органов или банка, убеждая жертву, что ее данные скомпрометированы, и для «спасения» сре</w:t>
      </w:r>
      <w:r>
        <w:rPr>
          <w:rFonts w:ascii="Times New Roman" w:hAnsi="Times New Roman" w:cs="Times New Roman"/>
          <w:sz w:val="30"/>
          <w:szCs w:val="30"/>
        </w:rPr>
        <w:t>дств необходимо оформить кредит или перевести деньги.</w:t>
      </w: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Мошенничество с использованием мобильной связи.</w:t>
      </w:r>
      <w:r>
        <w:rPr>
          <w:rFonts w:ascii="Times New Roman" w:hAnsi="Times New Roman" w:cs="Times New Roman"/>
          <w:sz w:val="30"/>
          <w:szCs w:val="30"/>
        </w:rPr>
        <w:t xml:space="preserve"> Мошенники представляются сотрудниками операторов сотовой связи (А</w:t>
      </w:r>
      <w:proofErr w:type="gramStart"/>
      <w:r>
        <w:rPr>
          <w:rFonts w:ascii="Times New Roman" w:hAnsi="Times New Roman" w:cs="Times New Roman"/>
          <w:sz w:val="30"/>
          <w:szCs w:val="30"/>
        </w:rPr>
        <w:t>1</w:t>
      </w:r>
      <w:proofErr w:type="gramEnd"/>
      <w:r>
        <w:rPr>
          <w:rFonts w:ascii="Times New Roman" w:hAnsi="Times New Roman" w:cs="Times New Roman"/>
          <w:sz w:val="30"/>
          <w:szCs w:val="30"/>
        </w:rPr>
        <w:t>, МТС). Под предлогом окончания срока действия договора или необходимости обновления ус</w:t>
      </w:r>
      <w:r>
        <w:rPr>
          <w:rFonts w:ascii="Times New Roman" w:hAnsi="Times New Roman" w:cs="Times New Roman"/>
          <w:sz w:val="30"/>
          <w:szCs w:val="30"/>
        </w:rPr>
        <w:t xml:space="preserve">луг они убеждают жертву перейти </w:t>
      </w:r>
      <w:r>
        <w:rPr>
          <w:rFonts w:ascii="Times New Roman" w:hAnsi="Times New Roman" w:cs="Times New Roman"/>
          <w:sz w:val="30"/>
          <w:szCs w:val="30"/>
        </w:rPr>
        <w:br/>
        <w:t xml:space="preserve">по ссылке из мессенджера и скачать поддельное приложение. Такие приложения дают злоумышленникам полный доступ к данным </w:t>
      </w:r>
      <w:r>
        <w:rPr>
          <w:rFonts w:ascii="Times New Roman" w:hAnsi="Times New Roman" w:cs="Times New Roman"/>
          <w:sz w:val="30"/>
          <w:szCs w:val="30"/>
        </w:rPr>
        <w:br/>
        <w:t xml:space="preserve">на смартфоне, включая коды из SMS, логины и пароли к </w:t>
      </w:r>
      <w:proofErr w:type="spellStart"/>
      <w:r>
        <w:rPr>
          <w:rFonts w:ascii="Times New Roman" w:hAnsi="Times New Roman" w:cs="Times New Roman"/>
          <w:sz w:val="30"/>
          <w:szCs w:val="30"/>
        </w:rPr>
        <w:t>онлайн-банкингу</w:t>
      </w:r>
      <w:proofErr w:type="spellEnd"/>
      <w:r>
        <w:rPr>
          <w:rFonts w:ascii="Times New Roman" w:hAnsi="Times New Roman" w:cs="Times New Roman"/>
          <w:sz w:val="30"/>
          <w:szCs w:val="30"/>
        </w:rPr>
        <w:t>. Важно помнить: безопасное скачива</w:t>
      </w:r>
      <w:r>
        <w:rPr>
          <w:rFonts w:ascii="Times New Roman" w:hAnsi="Times New Roman" w:cs="Times New Roman"/>
          <w:sz w:val="30"/>
          <w:szCs w:val="30"/>
        </w:rPr>
        <w:t xml:space="preserve">ние приложений возможно только из официальных магазинов, таких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Google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Play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App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Store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App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Gallery</w:t>
      </w:r>
      <w:proofErr w:type="spellEnd"/>
      <w:r>
        <w:rPr>
          <w:rFonts w:ascii="Times New Roman" w:hAnsi="Times New Roman" w:cs="Times New Roman"/>
          <w:sz w:val="30"/>
          <w:szCs w:val="30"/>
        </w:rPr>
        <w:t>. Никогда не устанавливайте приложения, переходя по сомнительным ссылкам.</w:t>
      </w:r>
    </w:p>
    <w:p w:rsidR="00671419" w:rsidRDefault="0067141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ab/>
        <w:t xml:space="preserve">Использование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дипфейков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нейросетей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активно применяют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нейро</w:t>
      </w:r>
      <w:r>
        <w:rPr>
          <w:rFonts w:ascii="Times New Roman" w:hAnsi="Times New Roman" w:cs="Times New Roman"/>
          <w:sz w:val="30"/>
          <w:szCs w:val="30"/>
        </w:rPr>
        <w:t>сети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создания поддельных голосовых сообщений и видео (</w:t>
      </w:r>
      <w:proofErr w:type="spellStart"/>
      <w:r>
        <w:rPr>
          <w:rFonts w:ascii="Times New Roman" w:hAnsi="Times New Roman" w:cs="Times New Roman"/>
          <w:sz w:val="30"/>
          <w:szCs w:val="30"/>
        </w:rPr>
        <w:t>дипфейков</w:t>
      </w:r>
      <w:proofErr w:type="spellEnd"/>
      <w:r>
        <w:rPr>
          <w:rFonts w:ascii="Times New Roman" w:hAnsi="Times New Roman" w:cs="Times New Roman"/>
          <w:sz w:val="30"/>
          <w:szCs w:val="30"/>
        </w:rPr>
        <w:t>) с использованием голоса или изображения родственников и знакомых жертвы. Затем такие фальшивые сообщения рассылаются контактам жертвы с просьбами о материальной помощи на лечение или друг</w:t>
      </w:r>
      <w:r>
        <w:rPr>
          <w:rFonts w:ascii="Times New Roman" w:hAnsi="Times New Roman" w:cs="Times New Roman"/>
          <w:sz w:val="30"/>
          <w:szCs w:val="30"/>
        </w:rPr>
        <w:t>ие нужды, часто с указанием реквизитов банковской карты или просьбой передать деньги через «знакомого».</w:t>
      </w: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Психологическое давление и угрозы.</w:t>
      </w:r>
      <w:r>
        <w:rPr>
          <w:rFonts w:ascii="Times New Roman" w:hAnsi="Times New Roman" w:cs="Times New Roman"/>
          <w:sz w:val="30"/>
          <w:szCs w:val="30"/>
        </w:rPr>
        <w:t xml:space="preserve"> Мошенники, выдавая себя за сотрудников правоохранительных органов или даже вашего руководителя, пишут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мессенджерах</w:t>
      </w:r>
      <w:proofErr w:type="spellEnd"/>
      <w:r>
        <w:rPr>
          <w:rFonts w:ascii="Times New Roman" w:hAnsi="Times New Roman" w:cs="Times New Roman"/>
          <w:sz w:val="30"/>
          <w:szCs w:val="30"/>
        </w:rPr>
        <w:t>, сообщая о якобы совершенном вами преступлении или соучастии в нем. Они могут угрожать обыском, изъятием имущества или денежных средств. Для «сохранения» денег предлагают перевести их на «защищенный» счет или передать курьеру, который на самом деле являет</w:t>
      </w:r>
      <w:r>
        <w:rPr>
          <w:rFonts w:ascii="Times New Roman" w:hAnsi="Times New Roman" w:cs="Times New Roman"/>
          <w:sz w:val="30"/>
          <w:szCs w:val="30"/>
        </w:rPr>
        <w:t>ся их пособником. В таких случаях мошенники могут даже «переключать» жертву на подставных «сотрудников» различных ведомств (милиции, Следственного комитета, КГБ, ДФР, КГК).</w:t>
      </w: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Финансовые пирамиды и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лжеинвестиции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одна из наиболее опасных схем. Мошенники,</w:t>
      </w:r>
      <w:r>
        <w:rPr>
          <w:rFonts w:ascii="Times New Roman" w:hAnsi="Times New Roman" w:cs="Times New Roman"/>
          <w:sz w:val="30"/>
          <w:szCs w:val="30"/>
        </w:rPr>
        <w:t xml:space="preserve"> представляясь брокерами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трейдерами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торговых площадок, предлагают жертвам быстрый и высокий доход </w:t>
      </w:r>
      <w:r>
        <w:rPr>
          <w:rFonts w:ascii="Times New Roman" w:hAnsi="Times New Roman" w:cs="Times New Roman"/>
          <w:sz w:val="30"/>
          <w:szCs w:val="30"/>
        </w:rPr>
        <w:br/>
        <w:t xml:space="preserve">от инвестиций. Они создают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веб-сайты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несуществующих бирж с имитацией графиков и диаграмм, регистрируют «личные кабинеты» </w:t>
      </w:r>
      <w:r>
        <w:rPr>
          <w:rFonts w:ascii="Times New Roman" w:hAnsi="Times New Roman" w:cs="Times New Roman"/>
          <w:sz w:val="30"/>
          <w:szCs w:val="30"/>
        </w:rPr>
        <w:br/>
        <w:t>и демонстрируют «прибы</w:t>
      </w:r>
      <w:r>
        <w:rPr>
          <w:rFonts w:ascii="Times New Roman" w:hAnsi="Times New Roman" w:cs="Times New Roman"/>
          <w:sz w:val="30"/>
          <w:szCs w:val="30"/>
        </w:rPr>
        <w:t>ль». Могут даже позволить вывести небольшую сумму, чтобы убедить жертву в реальности заработка. Цель — вынудить человека вложить как можно больше денег, включая заемные средства или деньги от продажи имущества. После получения крупной суммы мошенники исчез</w:t>
      </w:r>
      <w:r>
        <w:rPr>
          <w:rFonts w:ascii="Times New Roman" w:hAnsi="Times New Roman" w:cs="Times New Roman"/>
          <w:sz w:val="30"/>
          <w:szCs w:val="30"/>
        </w:rPr>
        <w:t>ают.</w:t>
      </w:r>
    </w:p>
    <w:p w:rsidR="00671419" w:rsidRDefault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Использование "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дропов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" и ответственность. </w:t>
      </w:r>
      <w:r>
        <w:rPr>
          <w:rFonts w:ascii="Times New Roman" w:hAnsi="Times New Roman" w:cs="Times New Roman"/>
          <w:sz w:val="30"/>
          <w:szCs w:val="30"/>
        </w:rPr>
        <w:t>Для вывода похищенных средств мошенники активно используют «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дропов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— подставных лиц, которые за вознаграждение предоставляют доступ </w:t>
      </w:r>
      <w:r>
        <w:rPr>
          <w:rFonts w:ascii="Times New Roman" w:hAnsi="Times New Roman" w:cs="Times New Roman"/>
          <w:sz w:val="30"/>
          <w:szCs w:val="30"/>
        </w:rPr>
        <w:br/>
        <w:t>к своим банковским счетам. «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Дропы</w:t>
      </w:r>
      <w:proofErr w:type="spellEnd"/>
      <w:r>
        <w:rPr>
          <w:rFonts w:ascii="Times New Roman" w:hAnsi="Times New Roman" w:cs="Times New Roman"/>
          <w:sz w:val="30"/>
          <w:szCs w:val="30"/>
        </w:rPr>
        <w:t>» являются ключевым звеном преступной цеп</w:t>
      </w:r>
      <w:r>
        <w:rPr>
          <w:rFonts w:ascii="Times New Roman" w:hAnsi="Times New Roman" w:cs="Times New Roman"/>
          <w:sz w:val="30"/>
          <w:szCs w:val="30"/>
        </w:rPr>
        <w:t xml:space="preserve">очки, через которое деньги переводятся через несколько банков на иностранные счета или конвертируются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криптовалюту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lastRenderedPageBreak/>
        <w:t>Важно знать и доносить до граждан: «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дропы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несут уголовную ответственность за распространение чужих данных для доступа </w:t>
      </w:r>
      <w:r>
        <w:rPr>
          <w:rFonts w:ascii="Times New Roman" w:hAnsi="Times New Roman" w:cs="Times New Roman"/>
          <w:sz w:val="30"/>
          <w:szCs w:val="30"/>
        </w:rPr>
        <w:br/>
        <w:t>к банковским счета</w:t>
      </w:r>
      <w:r>
        <w:rPr>
          <w:rFonts w:ascii="Times New Roman" w:hAnsi="Times New Roman" w:cs="Times New Roman"/>
          <w:sz w:val="30"/>
          <w:szCs w:val="30"/>
        </w:rPr>
        <w:t xml:space="preserve">м по статье 222 УК, предусматривающей наказание до 10 лет лишения свободы. За предоставление своих личных данных для использования в мошеннических схемах предусмотрена административная ответственность по статье 12.35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D12B09" w:rsidRDefault="00D12B09" w:rsidP="00D12B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Регулирование оборота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криптовалю</w:t>
      </w:r>
      <w:r>
        <w:rPr>
          <w:rFonts w:ascii="Times New Roman" w:hAnsi="Times New Roman" w:cs="Times New Roman"/>
          <w:b/>
          <w:bCs/>
          <w:sz w:val="30"/>
          <w:szCs w:val="30"/>
        </w:rPr>
        <w:t>ты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в Республике Беларусь. </w:t>
      </w:r>
      <w:r>
        <w:rPr>
          <w:rFonts w:ascii="Times New Roman" w:hAnsi="Times New Roman" w:cs="Times New Roman"/>
          <w:sz w:val="30"/>
          <w:szCs w:val="30"/>
        </w:rPr>
        <w:t xml:space="preserve">Операции по покупке и продаже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 денежные средства (белорусские рубли, иностранная валюта или электронные деньги) разрешены только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криптобиржи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(операторов обмена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криптовалют</w:t>
      </w:r>
      <w:proofErr w:type="spellEnd"/>
      <w:r>
        <w:rPr>
          <w:rFonts w:ascii="Times New Roman" w:hAnsi="Times New Roman" w:cs="Times New Roman"/>
          <w:sz w:val="30"/>
          <w:szCs w:val="30"/>
        </w:rPr>
        <w:t>), являющихся резидентами Парка высоки</w:t>
      </w:r>
      <w:r>
        <w:rPr>
          <w:rFonts w:ascii="Times New Roman" w:hAnsi="Times New Roman" w:cs="Times New Roman"/>
          <w:sz w:val="30"/>
          <w:szCs w:val="30"/>
        </w:rPr>
        <w:t xml:space="preserve">х технологий. Запрещены </w:t>
      </w:r>
      <w:r>
        <w:rPr>
          <w:rFonts w:ascii="Times New Roman" w:hAnsi="Times New Roman" w:cs="Times New Roman"/>
          <w:sz w:val="30"/>
          <w:szCs w:val="30"/>
        </w:rPr>
        <w:br/>
        <w:t xml:space="preserve">и являются незаконными операции по купле-продаже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proofErr w:type="gramStart"/>
      <w:r>
        <w:rPr>
          <w:rFonts w:ascii="Times New Roman" w:hAnsi="Times New Roman" w:cs="Times New Roman"/>
          <w:sz w:val="30"/>
          <w:szCs w:val="30"/>
        </w:rPr>
        <w:t>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иностранных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криптобиржах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у физических лиц. Порядок осуществления сделок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криптовалютой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регулируется Указом Президента Республики Беларусь от 20.09.2024 № 367, за </w:t>
      </w:r>
      <w:r>
        <w:rPr>
          <w:rFonts w:ascii="Times New Roman" w:hAnsi="Times New Roman" w:cs="Times New Roman"/>
          <w:sz w:val="30"/>
          <w:szCs w:val="30"/>
        </w:rPr>
        <w:t xml:space="preserve">нарушение которого предусмотрена ответственность по </w:t>
      </w:r>
      <w:proofErr w:type="gramStart"/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 3 ст. 13.3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sz w:val="30"/>
          <w:szCs w:val="30"/>
        </w:rPr>
        <w:t>, предусматривающей штраф с конфискацией всей суммы дохода.</w:t>
      </w:r>
    </w:p>
    <w:p w:rsidR="00671419" w:rsidRDefault="0067141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671419" w:rsidSect="0067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19" w:rsidRDefault="00D12B09">
      <w:pPr>
        <w:spacing w:after="0" w:line="240" w:lineRule="auto"/>
      </w:pPr>
      <w:r>
        <w:separator/>
      </w:r>
    </w:p>
  </w:endnote>
  <w:endnote w:type="continuationSeparator" w:id="0">
    <w:p w:rsidR="00671419" w:rsidRDefault="00D1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19" w:rsidRDefault="00D12B09">
      <w:pPr>
        <w:spacing w:after="0" w:line="240" w:lineRule="auto"/>
      </w:pPr>
      <w:r>
        <w:separator/>
      </w:r>
    </w:p>
  </w:footnote>
  <w:footnote w:type="continuationSeparator" w:id="0">
    <w:p w:rsidR="00671419" w:rsidRDefault="00D12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419"/>
    <w:rsid w:val="00671419"/>
    <w:rsid w:val="00D1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714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714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714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714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714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6714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714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714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7141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71419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671419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671419"/>
    <w:rPr>
      <w:sz w:val="24"/>
      <w:szCs w:val="24"/>
    </w:rPr>
  </w:style>
  <w:style w:type="character" w:customStyle="1" w:styleId="QuoteChar">
    <w:name w:val="Quote Char"/>
    <w:link w:val="2"/>
    <w:uiPriority w:val="29"/>
    <w:rsid w:val="00671419"/>
    <w:rPr>
      <w:i/>
    </w:rPr>
  </w:style>
  <w:style w:type="character" w:customStyle="1" w:styleId="IntenseQuoteChar">
    <w:name w:val="Intense Quote Char"/>
    <w:link w:val="a6"/>
    <w:uiPriority w:val="30"/>
    <w:rsid w:val="0067141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714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71419"/>
  </w:style>
  <w:style w:type="paragraph" w:customStyle="1" w:styleId="Footer">
    <w:name w:val="Footer"/>
    <w:basedOn w:val="a"/>
    <w:link w:val="CaptionChar"/>
    <w:uiPriority w:val="99"/>
    <w:unhideWhenUsed/>
    <w:rsid w:val="006714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7141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71419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71419"/>
  </w:style>
  <w:style w:type="table" w:styleId="a7">
    <w:name w:val="Table Grid"/>
    <w:basedOn w:val="a1"/>
    <w:uiPriority w:val="59"/>
    <w:rsid w:val="006714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714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14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71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14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8">
    <w:name w:val="Hyperlink"/>
    <w:uiPriority w:val="99"/>
    <w:unhideWhenUsed/>
    <w:rsid w:val="00671419"/>
    <w:rPr>
      <w:color w:val="467886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671419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671419"/>
    <w:rPr>
      <w:sz w:val="18"/>
    </w:rPr>
  </w:style>
  <w:style w:type="character" w:styleId="ab">
    <w:name w:val="footnote reference"/>
    <w:basedOn w:val="a0"/>
    <w:uiPriority w:val="99"/>
    <w:unhideWhenUsed/>
    <w:rsid w:val="00671419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71419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671419"/>
    <w:rPr>
      <w:sz w:val="20"/>
    </w:rPr>
  </w:style>
  <w:style w:type="character" w:styleId="ae">
    <w:name w:val="endnote reference"/>
    <w:basedOn w:val="a0"/>
    <w:uiPriority w:val="99"/>
    <w:semiHidden/>
    <w:unhideWhenUsed/>
    <w:rsid w:val="006714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71419"/>
    <w:pPr>
      <w:spacing w:after="57"/>
    </w:pPr>
  </w:style>
  <w:style w:type="paragraph" w:styleId="20">
    <w:name w:val="toc 2"/>
    <w:basedOn w:val="a"/>
    <w:next w:val="a"/>
    <w:uiPriority w:val="39"/>
    <w:unhideWhenUsed/>
    <w:rsid w:val="006714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714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714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714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714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714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714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71419"/>
    <w:pPr>
      <w:spacing w:after="57"/>
      <w:ind w:left="2268"/>
    </w:pPr>
  </w:style>
  <w:style w:type="paragraph" w:styleId="af">
    <w:name w:val="TOC Heading"/>
    <w:uiPriority w:val="39"/>
    <w:unhideWhenUsed/>
    <w:rsid w:val="00671419"/>
  </w:style>
  <w:style w:type="paragraph" w:styleId="af0">
    <w:name w:val="table of figures"/>
    <w:basedOn w:val="a"/>
    <w:next w:val="a"/>
    <w:uiPriority w:val="99"/>
    <w:unhideWhenUsed/>
    <w:rsid w:val="00671419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6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1"/>
    <w:uiPriority w:val="9"/>
    <w:semiHidden/>
    <w:unhideWhenUsed/>
    <w:qFormat/>
    <w:rsid w:val="006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6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6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6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67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67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67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0"/>
    <w:uiPriority w:val="9"/>
    <w:semiHidden/>
    <w:unhideWhenUsed/>
    <w:qFormat/>
    <w:rsid w:val="0067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0">
    <w:name w:val="Заголовок 1 Знак"/>
    <w:basedOn w:val="a0"/>
    <w:link w:val="Heading1"/>
    <w:uiPriority w:val="9"/>
    <w:rsid w:val="006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Heading2"/>
    <w:uiPriority w:val="9"/>
    <w:semiHidden/>
    <w:rsid w:val="006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Heading3"/>
    <w:uiPriority w:val="9"/>
    <w:semiHidden/>
    <w:rsid w:val="006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9"/>
    <w:semiHidden/>
    <w:rsid w:val="006714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Heading5"/>
    <w:uiPriority w:val="9"/>
    <w:semiHidden/>
    <w:rsid w:val="006714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Heading6"/>
    <w:uiPriority w:val="9"/>
    <w:semiHidden/>
    <w:rsid w:val="00671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Heading7"/>
    <w:uiPriority w:val="9"/>
    <w:semiHidden/>
    <w:rsid w:val="00671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Heading8"/>
    <w:uiPriority w:val="9"/>
    <w:semiHidden/>
    <w:rsid w:val="00671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Heading9"/>
    <w:uiPriority w:val="9"/>
    <w:semiHidden/>
    <w:rsid w:val="0067141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f1"/>
    <w:uiPriority w:val="10"/>
    <w:qFormat/>
    <w:rsid w:val="0067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4"/>
    <w:uiPriority w:val="10"/>
    <w:rsid w:val="0067141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f2"/>
    <w:uiPriority w:val="11"/>
    <w:qFormat/>
    <w:rsid w:val="006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5"/>
    <w:uiPriority w:val="11"/>
    <w:rsid w:val="006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2"/>
    <w:uiPriority w:val="29"/>
    <w:qFormat/>
    <w:rsid w:val="006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"/>
    <w:uiPriority w:val="29"/>
    <w:rsid w:val="0067141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671419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671419"/>
    <w:rPr>
      <w:i/>
      <w:iCs/>
      <w:color w:val="0F4761" w:themeColor="accent1" w:themeShade="BF"/>
    </w:rPr>
  </w:style>
  <w:style w:type="paragraph" w:styleId="a6">
    <w:name w:val="Intense Quote"/>
    <w:basedOn w:val="a"/>
    <w:next w:val="a"/>
    <w:link w:val="af5"/>
    <w:uiPriority w:val="30"/>
    <w:qFormat/>
    <w:rsid w:val="006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6"/>
    <w:uiPriority w:val="30"/>
    <w:rsid w:val="00671419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sid w:val="00671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PC</dc:creator>
  <cp:keywords/>
  <dc:description/>
  <cp:lastModifiedBy>chech_serikov_de</cp:lastModifiedBy>
  <cp:revision>5</cp:revision>
  <dcterms:created xsi:type="dcterms:W3CDTF">2025-05-20T07:28:00Z</dcterms:created>
  <dcterms:modified xsi:type="dcterms:W3CDTF">2026-05-08T05:52:00Z</dcterms:modified>
</cp:coreProperties>
</file>