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9B" w:rsidRPr="001A709B" w:rsidRDefault="001A709B" w:rsidP="001A709B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i/>
          <w:iCs/>
          <w:color w:val="383838"/>
          <w:sz w:val="24"/>
          <w:szCs w:val="24"/>
          <w:lang w:eastAsia="ru-RU"/>
        </w:rPr>
        <w:t>Б</w:t>
      </w:r>
      <w:r w:rsidRPr="001A709B">
        <w:rPr>
          <w:rFonts w:ascii="Arial" w:eastAsia="Times New Roman" w:hAnsi="Arial" w:cs="Arial"/>
          <w:b/>
          <w:bCs/>
          <w:i/>
          <w:iCs/>
          <w:color w:val="383838"/>
          <w:sz w:val="24"/>
          <w:szCs w:val="24"/>
          <w:lang w:eastAsia="ru-RU"/>
        </w:rPr>
        <w:t>еспрацоўны</w:t>
      </w:r>
      <w:proofErr w:type="spellEnd"/>
      <w:r w:rsidRPr="001A709B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 - 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грамадзянін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Рэспублікі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Беларусь,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замежны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грамадзянін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і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асоба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без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грамадзянства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якія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пастаянна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пражываюць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у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Рэспубліцы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Беларусь,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замежны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грамадзянін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і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асоба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без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грамадзянства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якім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прадастаўлены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статус 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бежанца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або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прытулак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 у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Рэспубліцы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Беларусь,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якія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не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маюць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работы, за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якую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павінна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выплачвацца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заработная плата,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якія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не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атрымліваюць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узнагароджанне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па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грамадзянска-прававым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дагаворы</w:t>
      </w:r>
      <w:proofErr w:type="spellEnd"/>
      <w:proofErr w:type="gram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, а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таксама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не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ажыццяўляюць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.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працы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занятасці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і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сацыяльнай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абароне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Мінскага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гарадскога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выканаўчага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камітэта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упраўленні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(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аддзеле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) па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працы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занятасці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і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сацыяльнай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абароне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гарадскога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раённага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выканаўчага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камітэта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ў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мэтах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пошуку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прыдатнай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работы,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шукаюць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работу і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гатовы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пачаць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яе</w:t>
      </w:r>
      <w:proofErr w:type="spellEnd"/>
      <w:r w:rsidRPr="001A709B">
        <w:rPr>
          <w:rFonts w:ascii="Arial" w:eastAsia="Times New Roman" w:hAnsi="Arial" w:cs="Arial"/>
          <w:i/>
          <w:iCs/>
          <w:color w:val="383838"/>
          <w:sz w:val="24"/>
          <w:szCs w:val="24"/>
          <w:lang w:eastAsia="ru-RU"/>
        </w:rPr>
        <w:t>.  </w:t>
      </w:r>
    </w:p>
    <w:p w:rsidR="001A709B" w:rsidRPr="001A709B" w:rsidRDefault="001A709B" w:rsidP="001A709B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1A709B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Рэгістрацыя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грамадзян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беспрацоўнымі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ажыццяўляецца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органамі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жыхарства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знаходжання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</w:t>
      </w:r>
      <w:proofErr w:type="spellStart"/>
      <w:r w:rsidRPr="001A709B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асабістым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звароце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  <w:bookmarkStart w:id="0" w:name="_GoBack"/>
      <w:bookmarkEnd w:id="0"/>
    </w:p>
    <w:p w:rsidR="001A709B" w:rsidRPr="001A709B" w:rsidRDefault="001A709B" w:rsidP="001A709B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рэгістрацыі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грамадзянін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прадстаўляе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дакументы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, 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fldChar w:fldCharType="begin"/>
      </w:r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instrText xml:space="preserve"> HYPERLINK "https://pravo.by/document/?guid=3871&amp;p0=P31000200" </w:instrText>
      </w:r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fldChar w:fldCharType="separate"/>
      </w:r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указаныя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ў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пункце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2.30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пераліку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адм</w:t>
      </w:r>
      <w:proofErr w:type="gram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іністрацыйных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працэдур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якія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ажыццяўляюцца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дзяржаўнымі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органамі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і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іншымі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арганізацыямі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па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заявах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грамадзян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зацверджанага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Указам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Прэзідэнта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Рэспублікі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Беларусь ад 26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красавіка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2010 г.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нумар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200 "Аб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адміністрацыйных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працэдурах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якія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ажыццяўляюцца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дзяржаўнымі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органамі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і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іншымі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арганізацыямі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па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заявах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грамадзян</w:t>
      </w:r>
      <w:proofErr w:type="spellEnd"/>
      <w:r w:rsidRPr="001A709B">
        <w:rPr>
          <w:rFonts w:ascii="Arial" w:eastAsia="Times New Roman" w:hAnsi="Arial" w:cs="Arial"/>
          <w:b/>
          <w:bCs/>
          <w:color w:val="3A9821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fldChar w:fldCharType="end"/>
      </w:r>
    </w:p>
    <w:p w:rsidR="001A709B" w:rsidRPr="001A709B" w:rsidRDefault="001A709B" w:rsidP="001A709B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1A709B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Беспрацоўнымі</w:t>
      </w:r>
      <w:proofErr w:type="spellEnd"/>
      <w:r w:rsidRPr="001A709B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не </w:t>
      </w:r>
      <w:proofErr w:type="spellStart"/>
      <w:r w:rsidRPr="001A709B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могуць</w:t>
      </w:r>
      <w:proofErr w:type="spellEnd"/>
      <w:r w:rsidRPr="001A709B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быць</w:t>
      </w:r>
      <w:proofErr w:type="spellEnd"/>
      <w:r w:rsidRPr="001A709B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зарэгістраваны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 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занятыя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грамадзяне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а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таксама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грамадзяне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:</w:t>
      </w:r>
    </w:p>
    <w:p w:rsidR="001A709B" w:rsidRPr="001A709B" w:rsidRDefault="001A709B" w:rsidP="001A709B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не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дасягнулі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16-гадовага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ўзросту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1A709B" w:rsidRPr="001A709B" w:rsidRDefault="001A709B" w:rsidP="001A709B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</w:t>
      </w:r>
      <w:proofErr w:type="gram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</w:t>
      </w:r>
      <w:proofErr w:type="spellEnd"/>
      <w:proofErr w:type="gram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адпаведнасці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заканадаўствам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пенсіённым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забеспячэнні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назначаны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пенсія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ўзросту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за выслугу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гадоў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прафесійная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пенсія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пенсія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дасягненні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ўзросту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60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гадоў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жанчынамі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65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гадоў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мужчынамі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1A709B" w:rsidRPr="001A709B" w:rsidRDefault="001A709B" w:rsidP="001A709B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прызнаныя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выніках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медыка-сацыяльнай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экспертызы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непрацаздольнымі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1A709B" w:rsidRPr="001A709B" w:rsidRDefault="001A709B" w:rsidP="001A709B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адбываюць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пакаранне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прыгавору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суда ў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выглядзе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папраўчых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абмежавання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волі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арышту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пазбаўлення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волі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пэўны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тэрмін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пажыццёвага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пазбаўлення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волі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1A709B" w:rsidRPr="001A709B" w:rsidRDefault="001A709B" w:rsidP="001A709B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знаходзяцца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лячэбна-працоўных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прафілакторыях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1A709B" w:rsidRPr="001A709B" w:rsidRDefault="001A709B" w:rsidP="001A709B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proofErr w:type="gram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з'яўляюцца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абавязанымі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асобамі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у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дачыненні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вынесена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рашэнне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працаўладкаванні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вызначэнні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судовым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загадзе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спагнанні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расходаў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затрачаных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дзяржавай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ўтрыманне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дзяцей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знаходзяцца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дзяржаўным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забеспячэнні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рашэнні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пазбаўленні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бацькоўскіх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правоў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адабранні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дзіцяці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без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пазбаўлення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бацькоўскіх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правоў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спагнанні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расходаў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затрачаных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дзяржавай</w:t>
      </w:r>
      <w:proofErr w:type="spellEnd"/>
      <w:proofErr w:type="gram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>узнікненні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пытанняў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працаўладкавання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выкананні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гэтых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судовых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пастаноў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— у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вызначэнні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якое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выносіцца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мэтах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забеспячэння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выканання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выканаўчых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дакументаў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судом па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выканання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(далей,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калі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не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пазначана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іншае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— судовая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пастанова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працаўладкаванні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);</w:t>
      </w:r>
    </w:p>
    <w:p w:rsidR="001A709B" w:rsidRPr="001A709B" w:rsidRDefault="001A709B" w:rsidP="001A709B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прадставілі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для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рэгістрацыі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беспрацоўнымі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дакументы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змяшчаюць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загадзя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ілжывыя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звесткі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адсутнасці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заработнай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gram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плаце</w:t>
      </w:r>
      <w:proofErr w:type="gram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узнагароджанні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грамадзянска-прававым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дагаворы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іншым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даходзе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);</w:t>
      </w:r>
    </w:p>
    <w:p w:rsidR="001A709B" w:rsidRPr="001A709B" w:rsidRDefault="001A709B" w:rsidP="001A709B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якія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навучаюцца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ў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дзённай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форме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атрымання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адукацыі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ва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ўстановах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адукацыі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арганізацыях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якія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рэалізуюць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адукацыйныя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праграмы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навукова-арыентаванай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адукацыі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іншых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арганізацыях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, у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індыві</w:t>
      </w:r>
      <w:proofErr w:type="gram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дуальных</w:t>
      </w:r>
      <w:proofErr w:type="spellEnd"/>
      <w:proofErr w:type="gram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прадпрымальнікаў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якім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у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адпаведнасці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з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заканадаўствам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прадастаўлена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права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ажыццяўляць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адукацыйную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дзейнасць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;</w:t>
      </w:r>
    </w:p>
    <w:p w:rsidR="001A709B" w:rsidRPr="001A709B" w:rsidRDefault="001A709B" w:rsidP="001A709B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з'яўляюцца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выпускнікамі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маладымі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спецыялістамі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маладымі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рабочымі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служачымі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</w:t>
      </w:r>
      <w:proofErr w:type="gram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</w:t>
      </w:r>
      <w:proofErr w:type="spellEnd"/>
      <w:proofErr w:type="gram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работы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прадастаўлена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шляхам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размеркавання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працаўладкавання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лік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броні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пераразмеркавання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накіраванымі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перанакіраванымі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работу і не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адпрацавалі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ўстаноўленыя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заканадаўствам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адукацыі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тэрміны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абавязковай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работы.</w:t>
      </w:r>
    </w:p>
    <w:p w:rsidR="001A709B" w:rsidRPr="001A709B" w:rsidRDefault="001A709B" w:rsidP="001A709B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1A709B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Тэрмін</w:t>
      </w:r>
      <w:proofErr w:type="spellEnd"/>
      <w:r w:rsidRPr="001A709B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знаходжання</w:t>
      </w:r>
      <w:proofErr w:type="spellEnd"/>
      <w:r w:rsidRPr="001A709B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 на </w:t>
      </w:r>
      <w:proofErr w:type="spellStart"/>
      <w:r w:rsidRPr="001A709B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ўліку</w:t>
      </w:r>
      <w:proofErr w:type="spellEnd"/>
      <w:r w:rsidRPr="001A709B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беспрацоў</w:t>
      </w:r>
      <w:proofErr w:type="gramStart"/>
      <w:r w:rsidRPr="001A709B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нага</w:t>
      </w:r>
      <w:proofErr w:type="spellEnd"/>
      <w:proofErr w:type="gram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 не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можа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перавышаць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12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каляндарных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месяцаў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дня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рэгістрацыі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адпаведна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беспрацоўным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грамадзянінам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звярнуўся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пытаннях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працаўладкавання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.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гэтым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тэрмін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знаходжання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беспрацоўнага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ўлі</w:t>
      </w:r>
      <w:proofErr w:type="gram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ку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не</w:t>
      </w:r>
      <w:proofErr w:type="gram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залічваецца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перыяд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праходжання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падрыхтоўкі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прафесійнай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падрыхтоўкі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перападрыхтоўкі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павышэння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кваліфікацыі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асваення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зместу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адукацыйнай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праграмы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навучальных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курсаў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лекторыяў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тэматычных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семінараў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практыкумаў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трэнінгаў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афіцэрскіх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курсаў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іншых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відаў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навучальных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курсаў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 у рамках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адукацыйных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праграм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дадатковай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адукацыі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дарослых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1A709B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8B1A73" w:rsidRDefault="008B1A73"/>
    <w:sectPr w:rsidR="008B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5B7D"/>
    <w:multiLevelType w:val="multilevel"/>
    <w:tmpl w:val="13DC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9B"/>
    <w:rsid w:val="001A709B"/>
    <w:rsid w:val="008B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ins10</dc:creator>
  <cp:lastModifiedBy>ins10</cp:lastModifiedBy>
  <cp:revision>1</cp:revision>
  <dcterms:created xsi:type="dcterms:W3CDTF">2025-10-08T16:22:00Z</dcterms:created>
  <dcterms:modified xsi:type="dcterms:W3CDTF">2025-10-08T16:23:00Z</dcterms:modified>
</cp:coreProperties>
</file>